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4456C" w14:textId="77777777" w:rsidR="00696DE6" w:rsidRPr="00696DE6" w:rsidRDefault="72E3D216" w:rsidP="72E3D216">
      <w:pPr>
        <w:pStyle w:val="ListParagraph"/>
        <w:jc w:val="center"/>
        <w:rPr>
          <w:b/>
          <w:bCs/>
          <w:sz w:val="28"/>
          <w:szCs w:val="28"/>
        </w:rPr>
      </w:pPr>
      <w:r w:rsidRPr="72E3D216">
        <w:rPr>
          <w:b/>
          <w:bCs/>
          <w:sz w:val="28"/>
          <w:szCs w:val="28"/>
        </w:rPr>
        <w:t>Progress Report to the Open Data Governance Board</w:t>
      </w:r>
    </w:p>
    <w:p w14:paraId="732823F6" w14:textId="21CDA469" w:rsidR="00696DE6" w:rsidRDefault="2E315FD2" w:rsidP="2E315FD2">
      <w:pPr>
        <w:pStyle w:val="ListParagraph"/>
        <w:jc w:val="center"/>
        <w:rPr>
          <w:sz w:val="28"/>
          <w:szCs w:val="28"/>
        </w:rPr>
      </w:pPr>
      <w:r w:rsidRPr="2E315FD2">
        <w:rPr>
          <w:sz w:val="28"/>
          <w:szCs w:val="28"/>
        </w:rPr>
        <w:t>JUNE 202</w:t>
      </w:r>
      <w:r w:rsidR="008E7BF7">
        <w:rPr>
          <w:sz w:val="28"/>
          <w:szCs w:val="28"/>
        </w:rPr>
        <w:t>5</w:t>
      </w:r>
      <w:r w:rsidRPr="2E315FD2">
        <w:rPr>
          <w:sz w:val="28"/>
          <w:szCs w:val="28"/>
        </w:rPr>
        <w:t xml:space="preserve"> – Quarterly Update</w:t>
      </w:r>
      <w:r w:rsidR="72E3D216">
        <w:br/>
      </w:r>
      <w:r w:rsidRPr="2E315FD2">
        <w:rPr>
          <w:sz w:val="28"/>
          <w:szCs w:val="28"/>
        </w:rPr>
        <w:t>Completed by Open Data Unit, Public Service Transformation Division, DPENDR</w:t>
      </w:r>
    </w:p>
    <w:p w14:paraId="23C188E6" w14:textId="77777777" w:rsidR="00696DE6" w:rsidRPr="00696DE6" w:rsidRDefault="00696DE6" w:rsidP="00696DE6">
      <w:pPr>
        <w:pStyle w:val="ListParagraph"/>
        <w:rPr>
          <w:sz w:val="28"/>
          <w:szCs w:val="28"/>
        </w:rPr>
      </w:pPr>
    </w:p>
    <w:p w14:paraId="52E5E943" w14:textId="14AE1034" w:rsidR="00913BDD" w:rsidRPr="00C87060" w:rsidRDefault="72E3D216" w:rsidP="00C87060">
      <w:pPr>
        <w:pStyle w:val="ListParagraph"/>
        <w:numPr>
          <w:ilvl w:val="0"/>
          <w:numId w:val="8"/>
        </w:numPr>
        <w:rPr>
          <w:rFonts w:asciiTheme="majorHAnsi" w:hAnsiTheme="majorHAnsi" w:cstheme="majorBidi"/>
          <w:b/>
          <w:bCs/>
          <w:color w:val="2E74B5" w:themeColor="accent1" w:themeShade="BF"/>
          <w:sz w:val="26"/>
          <w:szCs w:val="26"/>
        </w:rPr>
      </w:pPr>
      <w:r w:rsidRPr="72E3D216">
        <w:rPr>
          <w:rFonts w:asciiTheme="majorHAnsi" w:hAnsiTheme="majorHAnsi" w:cstheme="majorBidi"/>
          <w:b/>
          <w:bCs/>
          <w:color w:val="2E74B5" w:themeColor="accent1" w:themeShade="BF"/>
          <w:sz w:val="26"/>
          <w:szCs w:val="26"/>
        </w:rPr>
        <w:t>Progress since last meeting</w:t>
      </w:r>
    </w:p>
    <w:p w14:paraId="6D96EF98" w14:textId="77777777" w:rsidR="00913BDD" w:rsidRDefault="72E3D216" w:rsidP="72E3D216">
      <w:pPr>
        <w:rPr>
          <w:rFonts w:ascii="Calibri Light" w:eastAsia="Calibri Light" w:hAnsi="Calibri Light" w:cs="Calibri Light"/>
          <w:b/>
          <w:bCs/>
          <w:color w:val="2E74B5" w:themeColor="accent1" w:themeShade="BF"/>
          <w:sz w:val="26"/>
          <w:szCs w:val="26"/>
        </w:rPr>
      </w:pPr>
      <w:r w:rsidRPr="72E3D216">
        <w:rPr>
          <w:rFonts w:ascii="Calibri Light" w:eastAsia="Calibri Light" w:hAnsi="Calibri Light" w:cs="Calibri Light"/>
          <w:b/>
          <w:bCs/>
          <w:color w:val="2E74B5" w:themeColor="accent1" w:themeShade="BF"/>
          <w:sz w:val="26"/>
          <w:szCs w:val="26"/>
        </w:rPr>
        <w:t>1.1 Highlights</w:t>
      </w:r>
    </w:p>
    <w:p w14:paraId="36795808" w14:textId="2F174007" w:rsidR="00913BDD" w:rsidRPr="00C840CD" w:rsidRDefault="2E315FD2" w:rsidP="72E3D216">
      <w:pPr>
        <w:rPr>
          <w:rFonts w:ascii="Calibri Light" w:eastAsia="Calibri Light" w:hAnsi="Calibri Light" w:cs="Calibri Light"/>
          <w:b/>
          <w:bCs/>
          <w:color w:val="2E74B5" w:themeColor="accent1" w:themeShade="BF"/>
          <w:sz w:val="26"/>
          <w:szCs w:val="26"/>
        </w:rPr>
      </w:pPr>
      <w:r w:rsidRPr="2E315FD2">
        <w:rPr>
          <w:rFonts w:ascii="Calibri Light" w:eastAsia="Calibri Light" w:hAnsi="Calibri Light" w:cs="Calibri Light"/>
          <w:b/>
          <w:bCs/>
          <w:color w:val="2E74B5" w:themeColor="accent1" w:themeShade="BF"/>
          <w:sz w:val="26"/>
          <w:szCs w:val="26"/>
        </w:rPr>
        <w:t>Portal Update:</w:t>
      </w:r>
    </w:p>
    <w:p w14:paraId="31FB6730" w14:textId="77777777" w:rsidR="00667C99" w:rsidRDefault="00667C99" w:rsidP="00667C99">
      <w:pPr>
        <w:spacing w:after="0"/>
        <w:jc w:val="both"/>
      </w:pPr>
      <w:r w:rsidRPr="00667C99">
        <w:t>The Open Data Unit has received approval for two short-term projects: a superset configuration and an accordion-style FAQ page. The accordion-style FAQ page for the portal will allow the team to track the most sought-after answers from the page. The Superset feature for the portal will allow for data analysis and visualisation, allowing users to connect to various datasets on the portal and provide a wide range of visualisation options for creating reports.</w:t>
      </w:r>
    </w:p>
    <w:p w14:paraId="4262306E" w14:textId="77777777" w:rsidR="00667C99" w:rsidRPr="00667C99" w:rsidRDefault="00667C99" w:rsidP="00667C99">
      <w:pPr>
        <w:spacing w:after="0"/>
        <w:rPr>
          <w:rFonts w:asciiTheme="majorHAnsi" w:hAnsiTheme="majorHAnsi" w:cstheme="majorBidi"/>
          <w:b/>
          <w:bCs/>
          <w:color w:val="5B9BD5" w:themeColor="accent1"/>
        </w:rPr>
      </w:pPr>
    </w:p>
    <w:p w14:paraId="70611F32" w14:textId="1B875603" w:rsidR="00913BDD" w:rsidRPr="00913BDD" w:rsidRDefault="72E3D216" w:rsidP="00C87060">
      <w:pPr>
        <w:pStyle w:val="ListParagraph"/>
        <w:numPr>
          <w:ilvl w:val="0"/>
          <w:numId w:val="8"/>
        </w:numPr>
        <w:spacing w:after="0"/>
        <w:rPr>
          <w:rFonts w:asciiTheme="majorHAnsi" w:hAnsiTheme="majorHAnsi" w:cstheme="majorBidi"/>
          <w:b/>
          <w:bCs/>
          <w:color w:val="5B9BD5" w:themeColor="accent1"/>
        </w:rPr>
      </w:pPr>
      <w:r w:rsidRPr="72E3D216">
        <w:rPr>
          <w:rFonts w:ascii="Calibri Light" w:eastAsia="Calibri Light" w:hAnsi="Calibri Light" w:cs="Calibri Light"/>
          <w:b/>
          <w:bCs/>
          <w:color w:val="2E74B5" w:themeColor="accent1" w:themeShade="BF"/>
          <w:sz w:val="26"/>
          <w:szCs w:val="26"/>
        </w:rPr>
        <w:t>Implementation plan for Open Data Strategy</w:t>
      </w:r>
      <w:r>
        <w:t xml:space="preserve"> – </w:t>
      </w:r>
      <w:r w:rsidRPr="72E3D216">
        <w:rPr>
          <w:b/>
          <w:bCs/>
        </w:rPr>
        <w:t>see separate excel tracker</w:t>
      </w:r>
    </w:p>
    <w:p w14:paraId="4C525360" w14:textId="77777777" w:rsidR="00913BDD" w:rsidRDefault="00913BDD" w:rsidP="00C87060">
      <w:pPr>
        <w:pStyle w:val="ListParagraph"/>
        <w:spacing w:after="0"/>
      </w:pPr>
    </w:p>
    <w:p w14:paraId="72A44681" w14:textId="2695650C" w:rsidR="00CE11F3" w:rsidRPr="00452408" w:rsidRDefault="72E3D216" w:rsidP="00C87060">
      <w:pPr>
        <w:pStyle w:val="ListParagraph"/>
        <w:spacing w:after="0"/>
      </w:pPr>
      <w:r w:rsidRPr="00452408">
        <w:rPr>
          <w:color w:val="2E74B5" w:themeColor="accent1" w:themeShade="BF"/>
          <w:sz w:val="26"/>
          <w:szCs w:val="26"/>
        </w:rPr>
        <w:t>Portal</w:t>
      </w:r>
      <w:r w:rsidRPr="00452408">
        <w:rPr>
          <w:rFonts w:asciiTheme="majorHAnsi" w:hAnsiTheme="majorHAnsi" w:cstheme="majorBidi"/>
          <w:color w:val="2E74B5" w:themeColor="accent1" w:themeShade="BF"/>
          <w:sz w:val="26"/>
          <w:szCs w:val="26"/>
        </w:rPr>
        <w:t xml:space="preserve"> </w:t>
      </w:r>
      <w:r w:rsidRPr="00452408">
        <w:rPr>
          <w:rFonts w:ascii="Calibri" w:hAnsi="Calibri" w:cs="Calibri"/>
          <w:color w:val="2E74B5" w:themeColor="accent1" w:themeShade="BF"/>
          <w:sz w:val="26"/>
          <w:szCs w:val="26"/>
        </w:rPr>
        <w:t>statistics</w:t>
      </w:r>
      <w:r w:rsidRPr="00452408">
        <w:rPr>
          <w:color w:val="2E74B5" w:themeColor="accent1" w:themeShade="BF"/>
        </w:rPr>
        <w:t xml:space="preserve"> </w:t>
      </w:r>
      <w:r w:rsidRPr="00452408">
        <w:t xml:space="preserve">– reports generated from the portal </w:t>
      </w:r>
    </w:p>
    <w:p w14:paraId="2331C11F" w14:textId="0C1D6798" w:rsidR="001B7364" w:rsidRPr="00452408" w:rsidRDefault="00452408" w:rsidP="00C87060">
      <w:pPr>
        <w:pStyle w:val="ListParagraph"/>
        <w:numPr>
          <w:ilvl w:val="1"/>
          <w:numId w:val="11"/>
        </w:numPr>
        <w:spacing w:after="0"/>
      </w:pPr>
      <w:r w:rsidRPr="00452408">
        <w:t>21072</w:t>
      </w:r>
      <w:r w:rsidR="72E3D216" w:rsidRPr="00452408">
        <w:t xml:space="preserve"> Datasets published</w:t>
      </w:r>
    </w:p>
    <w:p w14:paraId="46CA7849" w14:textId="074A94DA" w:rsidR="001B7364" w:rsidRPr="00452408" w:rsidRDefault="00452408" w:rsidP="00C87060">
      <w:pPr>
        <w:pStyle w:val="ListParagraph"/>
        <w:numPr>
          <w:ilvl w:val="1"/>
          <w:numId w:val="11"/>
        </w:numPr>
        <w:spacing w:after="0"/>
      </w:pPr>
      <w:r w:rsidRPr="00452408">
        <w:t>143</w:t>
      </w:r>
      <w:r w:rsidR="72E3D216" w:rsidRPr="00452408">
        <w:t xml:space="preserve"> publishers</w:t>
      </w:r>
    </w:p>
    <w:p w14:paraId="607560EF" w14:textId="4187CA42" w:rsidR="001B7364" w:rsidRPr="00452408" w:rsidRDefault="00452408" w:rsidP="00C87060">
      <w:pPr>
        <w:pStyle w:val="ListParagraph"/>
        <w:numPr>
          <w:ilvl w:val="1"/>
          <w:numId w:val="11"/>
        </w:numPr>
        <w:spacing w:after="0"/>
      </w:pPr>
      <w:r w:rsidRPr="00452408">
        <w:t>22,051</w:t>
      </w:r>
      <w:r w:rsidR="72E3D216" w:rsidRPr="00452408">
        <w:t xml:space="preserve"> visits</w:t>
      </w:r>
    </w:p>
    <w:p w14:paraId="4FA09645" w14:textId="77777777" w:rsidR="00C87060" w:rsidRPr="00452408" w:rsidRDefault="00C87060" w:rsidP="00C87060">
      <w:pPr>
        <w:pStyle w:val="ListParagraph"/>
        <w:spacing w:after="0"/>
        <w:ind w:left="1440"/>
      </w:pPr>
    </w:p>
    <w:p w14:paraId="3B06D730" w14:textId="2DFF5DDD" w:rsidR="0014336D" w:rsidRPr="00452408" w:rsidRDefault="72E3D216" w:rsidP="00C87060">
      <w:pPr>
        <w:spacing w:after="0"/>
        <w:rPr>
          <w:rFonts w:ascii="Calibri Light" w:eastAsia="Calibri Light" w:hAnsi="Calibri Light" w:cs="Calibri Light"/>
          <w:b/>
          <w:bCs/>
          <w:color w:val="2E74B5" w:themeColor="accent1" w:themeShade="BF"/>
          <w:sz w:val="26"/>
          <w:szCs w:val="26"/>
        </w:rPr>
      </w:pPr>
      <w:r w:rsidRPr="00452408">
        <w:rPr>
          <w:rFonts w:ascii="Calibri Light" w:eastAsia="Calibri Light" w:hAnsi="Calibri Light" w:cs="Calibri Light"/>
          <w:b/>
          <w:bCs/>
          <w:color w:val="2E74B5" w:themeColor="accent1" w:themeShade="BF"/>
          <w:sz w:val="26"/>
          <w:szCs w:val="26"/>
        </w:rPr>
        <w:t>Open data queries tracker report</w:t>
      </w:r>
    </w:p>
    <w:p w14:paraId="3108B658" w14:textId="2B0BBA33" w:rsidR="004E7220" w:rsidRPr="00452408" w:rsidRDefault="646905DD" w:rsidP="00C87060">
      <w:pPr>
        <w:spacing w:after="0" w:line="240" w:lineRule="auto"/>
        <w:rPr>
          <w:rFonts w:eastAsiaTheme="minorEastAsia"/>
          <w:color w:val="000000" w:themeColor="text1"/>
          <w:lang w:eastAsia="en-IE"/>
        </w:rPr>
      </w:pPr>
      <w:r w:rsidRPr="00452408">
        <w:rPr>
          <w:rFonts w:eastAsiaTheme="minorEastAsia"/>
          <w:color w:val="000000" w:themeColor="text1"/>
          <w:lang w:eastAsia="en-IE"/>
        </w:rPr>
        <w:t>Open Data Tracker</w:t>
      </w:r>
      <w:r w:rsidR="00C87060" w:rsidRPr="00452408">
        <w:rPr>
          <w:rFonts w:eastAsiaTheme="minorEastAsia"/>
          <w:color w:val="000000" w:themeColor="text1"/>
          <w:lang w:eastAsia="en-IE"/>
        </w:rPr>
        <w:t>:</w:t>
      </w:r>
    </w:p>
    <w:p w14:paraId="5B54C3BB" w14:textId="00D05E2E" w:rsidR="00EA3DCF" w:rsidRPr="00452408" w:rsidRDefault="646905DD" w:rsidP="00C87060">
      <w:pPr>
        <w:pStyle w:val="ListParagraph"/>
        <w:numPr>
          <w:ilvl w:val="0"/>
          <w:numId w:val="16"/>
        </w:numPr>
        <w:spacing w:after="0" w:line="240" w:lineRule="auto"/>
        <w:rPr>
          <w:rFonts w:eastAsiaTheme="minorEastAsia"/>
          <w:color w:val="000000" w:themeColor="text1"/>
          <w:lang w:eastAsia="en-IE"/>
        </w:rPr>
      </w:pPr>
      <w:r w:rsidRPr="00452408">
        <w:rPr>
          <w:rFonts w:eastAsiaTheme="minorEastAsia"/>
          <w:color w:val="000000" w:themeColor="text1"/>
          <w:lang w:eastAsia="en-IE"/>
        </w:rPr>
        <w:t xml:space="preserve">Since the creation of the tracker we </w:t>
      </w:r>
      <w:r w:rsidR="00452408" w:rsidRPr="00452408">
        <w:rPr>
          <w:rFonts w:eastAsiaTheme="minorEastAsia"/>
          <w:color w:val="000000" w:themeColor="text1"/>
          <w:lang w:eastAsia="en-IE"/>
        </w:rPr>
        <w:t>have now closed out on over 4671</w:t>
      </w:r>
      <w:r w:rsidRPr="00452408">
        <w:rPr>
          <w:rFonts w:eastAsiaTheme="minorEastAsia"/>
          <w:color w:val="000000" w:themeColor="text1"/>
          <w:lang w:eastAsia="en-IE"/>
        </w:rPr>
        <w:t xml:space="preserve"> queries. </w:t>
      </w:r>
    </w:p>
    <w:p w14:paraId="26BCAEE3" w14:textId="7F6252FD" w:rsidR="00EA3DCF" w:rsidRPr="00452408" w:rsidRDefault="00452408" w:rsidP="00C87060">
      <w:pPr>
        <w:pStyle w:val="ListParagraph"/>
        <w:numPr>
          <w:ilvl w:val="0"/>
          <w:numId w:val="16"/>
        </w:numPr>
        <w:spacing w:after="0" w:line="240" w:lineRule="auto"/>
        <w:rPr>
          <w:rFonts w:eastAsiaTheme="minorEastAsia"/>
          <w:color w:val="000000" w:themeColor="text1"/>
          <w:lang w:eastAsia="en-IE"/>
        </w:rPr>
      </w:pPr>
      <w:r w:rsidRPr="00452408">
        <w:rPr>
          <w:rFonts w:eastAsiaTheme="minorEastAsia"/>
          <w:color w:val="000000" w:themeColor="text1"/>
          <w:lang w:eastAsia="en-IE"/>
        </w:rPr>
        <w:t>In 2025</w:t>
      </w:r>
      <w:r w:rsidR="646905DD" w:rsidRPr="00452408">
        <w:rPr>
          <w:rFonts w:eastAsiaTheme="minorEastAsia"/>
          <w:color w:val="000000" w:themeColor="text1"/>
          <w:lang w:eastAsia="en-IE"/>
        </w:rPr>
        <w:t xml:space="preserve">, so far, we have had </w:t>
      </w:r>
      <w:r w:rsidRPr="00452408">
        <w:rPr>
          <w:rFonts w:eastAsiaTheme="minorEastAsia"/>
          <w:color w:val="000000" w:themeColor="text1"/>
          <w:lang w:eastAsia="en-IE"/>
        </w:rPr>
        <w:t>224</w:t>
      </w:r>
      <w:r w:rsidR="646905DD" w:rsidRPr="00452408">
        <w:rPr>
          <w:rFonts w:eastAsiaTheme="minorEastAsia"/>
          <w:color w:val="000000" w:themeColor="text1"/>
          <w:lang w:eastAsia="en-IE"/>
        </w:rPr>
        <w:t xml:space="preserve"> tickets. </w:t>
      </w:r>
    </w:p>
    <w:p w14:paraId="789F66A7" w14:textId="074F52D9" w:rsidR="00EA3DCF" w:rsidRPr="00452408" w:rsidRDefault="00452408" w:rsidP="00C87060">
      <w:pPr>
        <w:pStyle w:val="ListParagraph"/>
        <w:numPr>
          <w:ilvl w:val="0"/>
          <w:numId w:val="16"/>
        </w:numPr>
        <w:spacing w:after="0" w:line="240" w:lineRule="auto"/>
        <w:rPr>
          <w:rFonts w:eastAsiaTheme="minorEastAsia"/>
          <w:color w:val="000000" w:themeColor="text1"/>
          <w:lang w:eastAsia="en-IE"/>
        </w:rPr>
      </w:pPr>
      <w:r w:rsidRPr="00452408">
        <w:rPr>
          <w:rFonts w:eastAsiaTheme="minorEastAsia"/>
          <w:color w:val="000000" w:themeColor="text1"/>
          <w:lang w:eastAsia="en-IE"/>
        </w:rPr>
        <w:t>In quarter one of 2025, 147</w:t>
      </w:r>
      <w:r w:rsidR="646905DD" w:rsidRPr="00452408">
        <w:rPr>
          <w:rFonts w:eastAsiaTheme="minorEastAsia"/>
          <w:color w:val="000000" w:themeColor="text1"/>
          <w:lang w:eastAsia="en-IE"/>
        </w:rPr>
        <w:t xml:space="preserve"> of these tickets were opened in com</w:t>
      </w:r>
      <w:r w:rsidRPr="00452408">
        <w:rPr>
          <w:rFonts w:eastAsiaTheme="minorEastAsia"/>
          <w:color w:val="000000" w:themeColor="text1"/>
          <w:lang w:eastAsia="en-IE"/>
        </w:rPr>
        <w:t>parison to quarter one 2024s 224.</w:t>
      </w:r>
    </w:p>
    <w:p w14:paraId="36481AC5" w14:textId="54B2FDEA" w:rsidR="004E7220" w:rsidRPr="00452408" w:rsidRDefault="00EA3DCF" w:rsidP="00C87060">
      <w:pPr>
        <w:pStyle w:val="ListParagraph"/>
        <w:numPr>
          <w:ilvl w:val="0"/>
          <w:numId w:val="16"/>
        </w:numPr>
        <w:spacing w:after="0" w:line="240" w:lineRule="auto"/>
        <w:rPr>
          <w:rFonts w:eastAsiaTheme="minorEastAsia"/>
          <w:color w:val="000000" w:themeColor="text1"/>
          <w:lang w:eastAsia="en-IE"/>
        </w:rPr>
      </w:pPr>
      <w:r w:rsidRPr="00452408">
        <w:rPr>
          <w:rFonts w:eastAsiaTheme="minorEastAsia"/>
          <w:color w:val="000000" w:themeColor="text1"/>
          <w:lang w:eastAsia="en-IE"/>
        </w:rPr>
        <w:t>Most of the queries were</w:t>
      </w:r>
      <w:r w:rsidR="646905DD" w:rsidRPr="00452408">
        <w:rPr>
          <w:rFonts w:eastAsiaTheme="minorEastAsia"/>
          <w:color w:val="000000" w:themeColor="text1"/>
          <w:lang w:eastAsia="en-IE"/>
        </w:rPr>
        <w:t xml:space="preserve"> dataset requests</w:t>
      </w:r>
      <w:r w:rsidR="00452408" w:rsidRPr="00452408">
        <w:rPr>
          <w:rFonts w:eastAsiaTheme="minorEastAsia"/>
          <w:color w:val="000000" w:themeColor="text1"/>
          <w:lang w:eastAsia="en-IE"/>
        </w:rPr>
        <w:t>.</w:t>
      </w:r>
    </w:p>
    <w:p w14:paraId="71C3EBAC" w14:textId="77777777" w:rsidR="00452408" w:rsidRPr="00452408" w:rsidRDefault="00452408" w:rsidP="00C87060">
      <w:pPr>
        <w:pStyle w:val="ListParagraph"/>
        <w:numPr>
          <w:ilvl w:val="0"/>
          <w:numId w:val="16"/>
        </w:numPr>
        <w:spacing w:after="0" w:line="240" w:lineRule="auto"/>
        <w:rPr>
          <w:rFonts w:eastAsiaTheme="minorEastAsia"/>
          <w:color w:val="000000" w:themeColor="text1"/>
          <w:lang w:eastAsia="en-IE"/>
        </w:rPr>
      </w:pPr>
    </w:p>
    <w:p w14:paraId="51D134FE" w14:textId="431EF2DA" w:rsidR="003632D6" w:rsidRPr="00452408" w:rsidRDefault="00452408" w:rsidP="00452408">
      <w:pPr>
        <w:pStyle w:val="ListParagraph"/>
        <w:numPr>
          <w:ilvl w:val="0"/>
          <w:numId w:val="16"/>
        </w:numPr>
        <w:spacing w:before="100" w:beforeAutospacing="1" w:after="100" w:afterAutospacing="1" w:line="240" w:lineRule="auto"/>
        <w:rPr>
          <w:rFonts w:eastAsia="Times New Roman"/>
          <w:color w:val="000000" w:themeColor="text1"/>
          <w:lang w:eastAsia="en-IE"/>
        </w:rPr>
      </w:pPr>
      <w:r w:rsidRPr="00452408">
        <w:rPr>
          <w:noProof/>
          <w:lang w:eastAsia="en-IE"/>
        </w:rPr>
        <w:drawing>
          <wp:anchor distT="0" distB="0" distL="114300" distR="114300" simplePos="0" relativeHeight="251658240" behindDoc="0" locked="0" layoutInCell="1" allowOverlap="1" wp14:anchorId="2F4B48BC" wp14:editId="18737B1E">
            <wp:simplePos x="0" y="0"/>
            <wp:positionH relativeFrom="column">
              <wp:posOffset>3207434</wp:posOffset>
            </wp:positionH>
            <wp:positionV relativeFrom="paragraph">
              <wp:posOffset>-7132</wp:posOffset>
            </wp:positionV>
            <wp:extent cx="2698750" cy="184975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8750" cy="1849755"/>
                    </a:xfrm>
                    <a:prstGeom prst="rect">
                      <a:avLst/>
                    </a:prstGeom>
                  </pic:spPr>
                </pic:pic>
              </a:graphicData>
            </a:graphic>
          </wp:anchor>
        </w:drawing>
      </w:r>
      <w:r w:rsidRPr="00452408">
        <w:rPr>
          <w:rFonts w:eastAsia="Times New Roman"/>
          <w:noProof/>
          <w:color w:val="000000" w:themeColor="text1"/>
          <w:lang w:eastAsia="en-IE"/>
        </w:rPr>
        <w:drawing>
          <wp:inline distT="0" distB="0" distL="0" distR="0" wp14:anchorId="6F46748D" wp14:editId="2CD950B8">
            <wp:extent cx="2709959" cy="18428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2611" cy="1851472"/>
                    </a:xfrm>
                    <a:prstGeom prst="rect">
                      <a:avLst/>
                    </a:prstGeom>
                  </pic:spPr>
                </pic:pic>
              </a:graphicData>
            </a:graphic>
          </wp:inline>
        </w:drawing>
      </w:r>
    </w:p>
    <w:p w14:paraId="38C0BA28" w14:textId="3AF0B8AC" w:rsidR="00D76834" w:rsidRDefault="646905DD" w:rsidP="003632D6">
      <w:r w:rsidRPr="00452408">
        <w:t>2</w:t>
      </w:r>
      <w:r w:rsidR="00452408" w:rsidRPr="00452408">
        <w:t xml:space="preserve">025  </w:t>
      </w:r>
      <w:r w:rsidRPr="00452408">
        <w:t xml:space="preserve">                                                                          </w:t>
      </w:r>
      <w:r w:rsidR="00452408" w:rsidRPr="00452408">
        <w:t xml:space="preserve">                     2024</w:t>
      </w:r>
    </w:p>
    <w:p w14:paraId="353CFC43" w14:textId="77777777" w:rsidR="003632D6" w:rsidRDefault="003632D6" w:rsidP="003632D6"/>
    <w:p w14:paraId="73D69BBE" w14:textId="2BB440B6" w:rsidR="00FA5E4F" w:rsidRPr="00FA5E4F" w:rsidRDefault="00FA5E4F" w:rsidP="00FA5E4F">
      <w:pPr>
        <w:spacing w:after="120"/>
        <w:jc w:val="both"/>
        <w:rPr>
          <w:rFonts w:ascii="Calibri Light" w:eastAsia="Calibri Light" w:hAnsi="Calibri Light" w:cs="Calibri Light"/>
          <w:b/>
          <w:bCs/>
          <w:color w:val="2E74B5" w:themeColor="accent1" w:themeShade="BF"/>
          <w:sz w:val="26"/>
          <w:szCs w:val="26"/>
        </w:rPr>
      </w:pPr>
      <w:r w:rsidRPr="00FA5E4F">
        <w:rPr>
          <w:rFonts w:ascii="Calibri Light" w:eastAsia="Calibri Light" w:hAnsi="Calibri Light" w:cs="Calibri Light"/>
          <w:b/>
          <w:bCs/>
          <w:color w:val="2E74B5" w:themeColor="accent1" w:themeShade="BF"/>
          <w:sz w:val="26"/>
          <w:szCs w:val="26"/>
        </w:rPr>
        <w:t>Data.gov.ie Publisher and User Rationalisation</w:t>
      </w:r>
    </w:p>
    <w:p w14:paraId="66B3FA7F" w14:textId="7E1A3021" w:rsidR="00B60033" w:rsidRPr="00776F28" w:rsidRDefault="00776F28" w:rsidP="00776F28">
      <w:pPr>
        <w:spacing w:after="0"/>
        <w:jc w:val="both"/>
        <w:rPr>
          <w:rFonts w:eastAsiaTheme="minorEastAsia"/>
          <w:color w:val="000000" w:themeColor="text1"/>
          <w:lang w:eastAsia="en-IE"/>
        </w:rPr>
      </w:pPr>
      <w:r w:rsidRPr="00776F28">
        <w:rPr>
          <w:rFonts w:eastAsiaTheme="minorEastAsia"/>
          <w:color w:val="000000" w:themeColor="text1"/>
          <w:lang w:eastAsia="en-IE"/>
        </w:rPr>
        <w:lastRenderedPageBreak/>
        <w:t>The Open Data Unit has audited all members associated with publisher accounts on the portal. As a result, actions were taken to cancel any unnecessary access. All remaining portal members have been verified to be associated with their work email address. We have also reviewed all publishers enrolled on the portal. Throughout this process, we have cleaned and removed inactive publishers who have ceased to exist or have been amalgamated into a larger organisation. This review has ensured our list of publishers is current and up to date. For publishers at the initial stages of their open data journey, we are actively pursuing and following up with them, offering the advice and support they need. We are also taking the initiative to remind them of our expectations at national and EU levels.</w:t>
      </w:r>
    </w:p>
    <w:p w14:paraId="31FF6AE9" w14:textId="77777777" w:rsidR="00776F28" w:rsidRDefault="00776F28" w:rsidP="00B60033">
      <w:pPr>
        <w:spacing w:after="0"/>
        <w:rPr>
          <w:rFonts w:ascii="Calibri Light" w:eastAsia="Calibri Light" w:hAnsi="Calibri Light" w:cs="Calibri Light"/>
        </w:rPr>
      </w:pPr>
    </w:p>
    <w:p w14:paraId="7A4CC100" w14:textId="77777777" w:rsidR="00776F28" w:rsidRPr="00B60033" w:rsidRDefault="00776F28" w:rsidP="00B60033">
      <w:pPr>
        <w:spacing w:after="0"/>
      </w:pPr>
    </w:p>
    <w:p w14:paraId="25EA72C2" w14:textId="229B269E" w:rsidR="003F01FD" w:rsidRPr="003F01FD" w:rsidRDefault="2E315FD2" w:rsidP="2E315FD2">
      <w:pPr>
        <w:rPr>
          <w:rFonts w:ascii="Calibri Light" w:eastAsia="Calibri Light" w:hAnsi="Calibri Light" w:cs="Calibri Light"/>
          <w:b/>
          <w:bCs/>
          <w:color w:val="2E74B5" w:themeColor="accent1" w:themeShade="BF"/>
          <w:sz w:val="26"/>
          <w:szCs w:val="26"/>
        </w:rPr>
      </w:pPr>
      <w:r w:rsidRPr="2E315FD2">
        <w:rPr>
          <w:rFonts w:ascii="Calibri Light" w:eastAsia="Calibri Light" w:hAnsi="Calibri Light" w:cs="Calibri Light"/>
          <w:b/>
          <w:bCs/>
          <w:color w:val="2E74B5" w:themeColor="accent1" w:themeShade="BF"/>
          <w:sz w:val="26"/>
          <w:szCs w:val="26"/>
        </w:rPr>
        <w:t>Open Data Communications</w:t>
      </w:r>
    </w:p>
    <w:p w14:paraId="4E3EC280" w14:textId="221A0075" w:rsidR="2E315FD2" w:rsidRDefault="2E315FD2" w:rsidP="2E315FD2">
      <w:pPr>
        <w:pStyle w:val="Heading2"/>
        <w:rPr>
          <w:rFonts w:eastAsia="Times New Roman"/>
          <w:color w:val="000000" w:themeColor="text1"/>
          <w:lang w:eastAsia="en-IE"/>
        </w:rPr>
      </w:pPr>
      <w:r w:rsidRPr="2E315FD2">
        <w:t>Newsletter:</w:t>
      </w:r>
    </w:p>
    <w:p w14:paraId="0470F1D7" w14:textId="5642E2B0" w:rsidR="2E315FD2" w:rsidRDefault="2E315FD2" w:rsidP="00776F28">
      <w:pPr>
        <w:spacing w:before="100" w:beforeAutospacing="1" w:after="100" w:afterAutospacing="1" w:line="240" w:lineRule="auto"/>
        <w:rPr>
          <w:rFonts w:eastAsia="Times New Roman"/>
          <w:color w:val="000000" w:themeColor="text1"/>
          <w:lang w:eastAsia="en-IE"/>
        </w:rPr>
      </w:pPr>
      <w:r w:rsidRPr="2E315FD2">
        <w:rPr>
          <w:rFonts w:eastAsiaTheme="minorEastAsia"/>
          <w:color w:val="000000" w:themeColor="text1"/>
          <w:lang w:eastAsia="en-IE"/>
        </w:rPr>
        <w:t>In April 2025, our first Open Data Newsletter of the year was sent out to 1885 recipients on our subscribers list. This newsletter featured articles on:</w:t>
      </w:r>
    </w:p>
    <w:p w14:paraId="2FA46B77" w14:textId="5B6A744F" w:rsidR="2E315FD2" w:rsidRDefault="2E315FD2" w:rsidP="2E315FD2">
      <w:pPr>
        <w:pStyle w:val="ListParagraph"/>
        <w:numPr>
          <w:ilvl w:val="0"/>
          <w:numId w:val="2"/>
        </w:numPr>
        <w:spacing w:beforeAutospacing="1" w:afterAutospacing="1" w:line="240" w:lineRule="auto"/>
        <w:rPr>
          <w:color w:val="000000" w:themeColor="text1"/>
          <w:lang w:eastAsia="en-IE"/>
        </w:rPr>
      </w:pPr>
      <w:r w:rsidRPr="2E315FD2">
        <w:rPr>
          <w:rFonts w:eastAsiaTheme="minorEastAsia"/>
          <w:color w:val="000000" w:themeColor="text1"/>
          <w:lang w:eastAsia="en-IE"/>
        </w:rPr>
        <w:t>Ireland's continued excellence in the Open Data Maturity Report</w:t>
      </w:r>
    </w:p>
    <w:p w14:paraId="3BA0895C" w14:textId="699255CB" w:rsidR="2E315FD2" w:rsidRDefault="2E315FD2" w:rsidP="2E315FD2">
      <w:pPr>
        <w:pStyle w:val="ListParagraph"/>
        <w:numPr>
          <w:ilvl w:val="0"/>
          <w:numId w:val="2"/>
        </w:numPr>
        <w:spacing w:beforeAutospacing="1" w:afterAutospacing="1" w:line="240" w:lineRule="auto"/>
        <w:rPr>
          <w:color w:val="000000" w:themeColor="text1"/>
          <w:lang w:eastAsia="en-IE"/>
        </w:rPr>
      </w:pPr>
      <w:r w:rsidRPr="2E315FD2">
        <w:rPr>
          <w:rFonts w:eastAsiaTheme="minorEastAsia"/>
          <w:color w:val="202020"/>
        </w:rPr>
        <w:t>National Companies Registration Data as Open Data</w:t>
      </w:r>
    </w:p>
    <w:p w14:paraId="54C225FC" w14:textId="3EF7DE2D" w:rsidR="2E315FD2" w:rsidRDefault="2E315FD2" w:rsidP="2E315FD2">
      <w:pPr>
        <w:pStyle w:val="ListParagraph"/>
        <w:numPr>
          <w:ilvl w:val="0"/>
          <w:numId w:val="2"/>
        </w:numPr>
        <w:spacing w:beforeAutospacing="1" w:afterAutospacing="1" w:line="240" w:lineRule="auto"/>
        <w:rPr>
          <w:color w:val="202020"/>
        </w:rPr>
      </w:pPr>
      <w:r w:rsidRPr="2E315FD2">
        <w:rPr>
          <w:rFonts w:eastAsiaTheme="minorEastAsia"/>
          <w:color w:val="202020"/>
        </w:rPr>
        <w:t>The Green and Social Hours initiative</w:t>
      </w:r>
    </w:p>
    <w:p w14:paraId="5716763C" w14:textId="34CC26D3" w:rsidR="2E315FD2" w:rsidRDefault="2E315FD2" w:rsidP="2E315FD2">
      <w:pPr>
        <w:pStyle w:val="ListParagraph"/>
        <w:numPr>
          <w:ilvl w:val="0"/>
          <w:numId w:val="2"/>
        </w:numPr>
        <w:spacing w:beforeAutospacing="1" w:afterAutospacing="1" w:line="240" w:lineRule="auto"/>
        <w:rPr>
          <w:color w:val="202020"/>
        </w:rPr>
      </w:pPr>
      <w:r w:rsidRPr="2E315FD2">
        <w:rPr>
          <w:rFonts w:eastAsiaTheme="minorEastAsia"/>
          <w:color w:val="202020"/>
        </w:rPr>
        <w:t>Smart Dublin's Award for their Active Travel Open Data Dashboard</w:t>
      </w:r>
    </w:p>
    <w:p w14:paraId="6D92EE73" w14:textId="2CFF5380" w:rsidR="2E315FD2" w:rsidRDefault="2E315FD2" w:rsidP="2E315FD2">
      <w:pPr>
        <w:pStyle w:val="ListParagraph"/>
        <w:numPr>
          <w:ilvl w:val="0"/>
          <w:numId w:val="2"/>
        </w:numPr>
        <w:spacing w:beforeAutospacing="1" w:afterAutospacing="1" w:line="240" w:lineRule="auto"/>
        <w:rPr>
          <w:color w:val="000000" w:themeColor="text1"/>
          <w:lang w:eastAsia="en-IE"/>
        </w:rPr>
      </w:pPr>
      <w:r w:rsidRPr="2E315FD2">
        <w:rPr>
          <w:rFonts w:eastAsiaTheme="minorEastAsia"/>
          <w:color w:val="000000" w:themeColor="text1"/>
          <w:lang w:eastAsia="en-IE"/>
        </w:rPr>
        <w:t xml:space="preserve">Open Data Training </w:t>
      </w:r>
    </w:p>
    <w:p w14:paraId="1E78D29B" w14:textId="2B23FB6C" w:rsidR="2E315FD2" w:rsidRDefault="2E315FD2" w:rsidP="2E315FD2">
      <w:pPr>
        <w:spacing w:beforeAutospacing="1" w:afterAutospacing="1" w:line="240" w:lineRule="auto"/>
        <w:rPr>
          <w:rFonts w:eastAsiaTheme="minorEastAsia"/>
          <w:color w:val="000000" w:themeColor="text1"/>
          <w:lang w:eastAsia="en-IE"/>
        </w:rPr>
      </w:pPr>
    </w:p>
    <w:p w14:paraId="47FE70D7" w14:textId="77777777" w:rsidR="003632D6" w:rsidRDefault="2E315FD2" w:rsidP="2E315FD2">
      <w:pPr>
        <w:spacing w:beforeAutospacing="1" w:afterAutospacing="1" w:line="240" w:lineRule="auto"/>
        <w:rPr>
          <w:rFonts w:eastAsia="Times New Roman"/>
          <w:color w:val="000000" w:themeColor="text1"/>
          <w:lang w:eastAsia="en-IE"/>
        </w:rPr>
      </w:pPr>
      <w:r w:rsidRPr="2E315FD2">
        <w:rPr>
          <w:rFonts w:eastAsiaTheme="minorEastAsia"/>
          <w:color w:val="000000" w:themeColor="text1"/>
          <w:lang w:eastAsia="en-IE"/>
        </w:rPr>
        <w:t xml:space="preserve">The newsletter was sent out using Mail Chimp and the Open Data Unit have been able to track engagement. </w:t>
      </w:r>
    </w:p>
    <w:p w14:paraId="74549360" w14:textId="5F24C53A" w:rsidR="003632D6" w:rsidRDefault="003632D6" w:rsidP="2E315FD2">
      <w:pPr>
        <w:spacing w:beforeAutospacing="1" w:afterAutospacing="1" w:line="240" w:lineRule="auto"/>
        <w:rPr>
          <w:rFonts w:eastAsiaTheme="minorEastAsia"/>
          <w:color w:val="000000" w:themeColor="text1"/>
          <w:lang w:eastAsia="en-IE"/>
        </w:rPr>
      </w:pPr>
    </w:p>
    <w:p w14:paraId="0EFD44B5" w14:textId="449E5940" w:rsidR="003632D6" w:rsidRDefault="2E315FD2" w:rsidP="2E315FD2">
      <w:pPr>
        <w:pStyle w:val="ListParagraph"/>
        <w:numPr>
          <w:ilvl w:val="0"/>
          <w:numId w:val="1"/>
        </w:numPr>
        <w:spacing w:beforeAutospacing="1" w:afterAutospacing="1" w:line="240" w:lineRule="auto"/>
        <w:rPr>
          <w:color w:val="000000" w:themeColor="text1"/>
          <w:lang w:eastAsia="en-IE"/>
        </w:rPr>
      </w:pPr>
      <w:r w:rsidRPr="2E315FD2">
        <w:rPr>
          <w:rFonts w:eastAsiaTheme="minorEastAsia"/>
          <w:color w:val="000000" w:themeColor="text1"/>
          <w:lang w:eastAsia="en-IE"/>
        </w:rPr>
        <w:t xml:space="preserve">This newsletter had an Open Rate of 40%, which is a decrease of the previous newsletter at 60.2%. Through trial and error, it now looks like sending the newsletter later in the day, instead of the morning time yields a higher open rate. This is something we will factor in next time.  </w:t>
      </w:r>
    </w:p>
    <w:p w14:paraId="32719E86" w14:textId="789EE061" w:rsidR="003632D6" w:rsidRDefault="2E315FD2" w:rsidP="2E315FD2">
      <w:pPr>
        <w:pStyle w:val="ListParagraph"/>
        <w:numPr>
          <w:ilvl w:val="0"/>
          <w:numId w:val="1"/>
        </w:numPr>
        <w:spacing w:beforeAutospacing="1" w:afterAutospacing="1" w:line="240" w:lineRule="auto"/>
        <w:rPr>
          <w:color w:val="000000" w:themeColor="text1"/>
          <w:lang w:eastAsia="en-IE"/>
        </w:rPr>
      </w:pPr>
      <w:r w:rsidRPr="2E315FD2">
        <w:rPr>
          <w:rFonts w:eastAsiaTheme="minorEastAsia"/>
          <w:color w:val="000000" w:themeColor="text1"/>
          <w:lang w:eastAsia="en-IE"/>
        </w:rPr>
        <w:t>Our Click Rate was slightly lower than the last newsletter at 10.3% dropping from 11.5%</w:t>
      </w:r>
    </w:p>
    <w:p w14:paraId="1A83C39E" w14:textId="670BE58B" w:rsidR="003632D6" w:rsidRDefault="2E315FD2" w:rsidP="2E315FD2">
      <w:pPr>
        <w:pStyle w:val="ListParagraph"/>
        <w:numPr>
          <w:ilvl w:val="0"/>
          <w:numId w:val="1"/>
        </w:numPr>
        <w:spacing w:beforeAutospacing="1" w:afterAutospacing="1" w:line="240" w:lineRule="auto"/>
        <w:rPr>
          <w:color w:val="000000" w:themeColor="text1"/>
          <w:lang w:eastAsia="en-IE"/>
        </w:rPr>
      </w:pPr>
      <w:r w:rsidRPr="2E315FD2">
        <w:rPr>
          <w:rFonts w:eastAsiaTheme="minorEastAsia"/>
          <w:color w:val="000000" w:themeColor="text1"/>
          <w:lang w:eastAsia="en-IE"/>
        </w:rPr>
        <w:t>The top links clicked within the newsletter were the data.gov.ie site, the article on the ODM survey as well as Open Data Training.</w:t>
      </w:r>
    </w:p>
    <w:p w14:paraId="5F5EDC6C" w14:textId="07D6D5B5" w:rsidR="2E315FD2" w:rsidRDefault="2E315FD2" w:rsidP="2E315FD2">
      <w:pPr>
        <w:spacing w:beforeAutospacing="1" w:afterAutospacing="1" w:line="240" w:lineRule="auto"/>
        <w:rPr>
          <w:rFonts w:eastAsiaTheme="minorEastAsia"/>
          <w:color w:val="000000" w:themeColor="text1"/>
          <w:lang w:eastAsia="en-IE"/>
        </w:rPr>
      </w:pPr>
    </w:p>
    <w:p w14:paraId="563B0B20" w14:textId="0390A129" w:rsidR="2E315FD2" w:rsidRDefault="2E315FD2" w:rsidP="2E315FD2">
      <w:pPr>
        <w:spacing w:beforeAutospacing="1" w:afterAutospacing="1" w:line="240" w:lineRule="auto"/>
        <w:rPr>
          <w:rFonts w:eastAsiaTheme="minorEastAsia"/>
          <w:color w:val="000000" w:themeColor="text1"/>
          <w:lang w:eastAsia="en-IE"/>
        </w:rPr>
      </w:pPr>
      <w:r w:rsidRPr="2E315FD2">
        <w:rPr>
          <w:rFonts w:eastAsiaTheme="minorEastAsia"/>
          <w:color w:val="000000" w:themeColor="text1"/>
          <w:lang w:eastAsia="en-IE"/>
        </w:rPr>
        <w:t xml:space="preserve">The April newsletter can be viewed here at: </w:t>
      </w:r>
      <w:hyperlink r:id="rId10">
        <w:r w:rsidRPr="2E315FD2">
          <w:rPr>
            <w:rStyle w:val="Hyperlink"/>
            <w:rFonts w:ascii="Calibri" w:eastAsia="Calibri" w:hAnsi="Calibri" w:cs="Calibri"/>
            <w:color w:val="006771"/>
            <w:sz w:val="24"/>
            <w:szCs w:val="24"/>
          </w:rPr>
          <w:t>https://mailchi.mp/597568a2a5a8/open-data-updates-12816356</w:t>
        </w:r>
      </w:hyperlink>
    </w:p>
    <w:p w14:paraId="6BAEA4AC" w14:textId="5927D33F" w:rsidR="2E315FD2" w:rsidRDefault="2E315FD2" w:rsidP="2E315FD2">
      <w:pPr>
        <w:spacing w:beforeAutospacing="1" w:afterAutospacing="1" w:line="240" w:lineRule="auto"/>
        <w:rPr>
          <w:rFonts w:eastAsiaTheme="minorEastAsia"/>
          <w:color w:val="000000" w:themeColor="text1"/>
          <w:lang w:eastAsia="en-IE"/>
        </w:rPr>
      </w:pPr>
    </w:p>
    <w:p w14:paraId="37EBBDB4" w14:textId="1B4C2B12" w:rsidR="00C840CD" w:rsidRDefault="2E315FD2" w:rsidP="2E315FD2">
      <w:pPr>
        <w:spacing w:beforeAutospacing="1" w:afterAutospacing="1" w:line="240" w:lineRule="auto"/>
        <w:rPr>
          <w:rFonts w:eastAsia="Times New Roman"/>
          <w:color w:val="000000" w:themeColor="text1"/>
          <w:lang w:eastAsia="en-IE"/>
        </w:rPr>
      </w:pPr>
      <w:r w:rsidRPr="2E315FD2">
        <w:rPr>
          <w:rFonts w:eastAsiaTheme="minorEastAsia"/>
          <w:color w:val="000000" w:themeColor="text1"/>
          <w:lang w:eastAsia="en-IE"/>
        </w:rPr>
        <w:t>Our next Newsletter is due to go out in late June/ early July. This newsletter will  thus far feature articles on</w:t>
      </w:r>
    </w:p>
    <w:p w14:paraId="61180EFB" w14:textId="50244016" w:rsidR="2E315FD2" w:rsidRDefault="2E315FD2" w:rsidP="2E315FD2">
      <w:pPr>
        <w:pStyle w:val="ListParagraph"/>
        <w:numPr>
          <w:ilvl w:val="0"/>
          <w:numId w:val="4"/>
        </w:numPr>
        <w:spacing w:beforeAutospacing="1" w:afterAutospacing="1" w:line="240" w:lineRule="auto"/>
        <w:rPr>
          <w:color w:val="000000" w:themeColor="text1"/>
          <w:lang w:eastAsia="en-IE"/>
        </w:rPr>
      </w:pPr>
      <w:r w:rsidRPr="2E315FD2">
        <w:rPr>
          <w:rFonts w:eastAsiaTheme="minorEastAsia"/>
          <w:color w:val="000000" w:themeColor="text1"/>
          <w:lang w:eastAsia="en-IE"/>
        </w:rPr>
        <w:lastRenderedPageBreak/>
        <w:t>The Companies' Registration Office and their HVD compliance</w:t>
      </w:r>
    </w:p>
    <w:p w14:paraId="43C38B8D" w14:textId="622C1302" w:rsidR="2E315FD2" w:rsidRDefault="2E315FD2" w:rsidP="2E315FD2">
      <w:pPr>
        <w:pStyle w:val="ListParagraph"/>
        <w:numPr>
          <w:ilvl w:val="0"/>
          <w:numId w:val="4"/>
        </w:numPr>
        <w:spacing w:beforeAutospacing="1" w:afterAutospacing="1" w:line="240" w:lineRule="auto"/>
        <w:rPr>
          <w:color w:val="000000" w:themeColor="text1"/>
          <w:lang w:eastAsia="en-IE"/>
        </w:rPr>
      </w:pPr>
      <w:r w:rsidRPr="2E315FD2">
        <w:rPr>
          <w:rFonts w:eastAsiaTheme="minorEastAsia"/>
          <w:color w:val="000000" w:themeColor="text1"/>
          <w:lang w:eastAsia="en-IE"/>
        </w:rPr>
        <w:t>The Open Data Unit's attendance at EU Open Data Days</w:t>
      </w:r>
    </w:p>
    <w:p w14:paraId="1D9A3BE1" w14:textId="064DEDEF" w:rsidR="2E315FD2" w:rsidRDefault="2E315FD2" w:rsidP="2E315FD2">
      <w:pPr>
        <w:pStyle w:val="ListParagraph"/>
        <w:numPr>
          <w:ilvl w:val="0"/>
          <w:numId w:val="4"/>
        </w:numPr>
        <w:spacing w:beforeAutospacing="1" w:afterAutospacing="1" w:line="240" w:lineRule="auto"/>
        <w:rPr>
          <w:color w:val="000000" w:themeColor="text1"/>
          <w:lang w:eastAsia="en-IE"/>
        </w:rPr>
      </w:pPr>
      <w:r w:rsidRPr="2E315FD2">
        <w:rPr>
          <w:rFonts w:eastAsiaTheme="minorEastAsia"/>
          <w:color w:val="000000" w:themeColor="text1"/>
          <w:lang w:eastAsia="en-IE"/>
        </w:rPr>
        <w:t xml:space="preserve">The Open Data Unit's attendance at </w:t>
      </w:r>
      <w:r w:rsidRPr="2E315FD2">
        <w:t>the 36th Meeting of the Public Sector Information (PSI) Expert Group in Luxembourg.</w:t>
      </w:r>
    </w:p>
    <w:p w14:paraId="62D4C9C9" w14:textId="5BA98228" w:rsidR="2E315FD2" w:rsidRDefault="2E315FD2" w:rsidP="2E315FD2">
      <w:pPr>
        <w:pStyle w:val="ListParagraph"/>
        <w:numPr>
          <w:ilvl w:val="0"/>
          <w:numId w:val="4"/>
        </w:numPr>
        <w:spacing w:beforeAutospacing="1" w:afterAutospacing="1" w:line="240" w:lineRule="auto"/>
        <w:rPr>
          <w:color w:val="000000" w:themeColor="text1"/>
          <w:lang w:eastAsia="en-IE"/>
        </w:rPr>
      </w:pPr>
      <w:r w:rsidRPr="2E315FD2">
        <w:rPr>
          <w:rFonts w:eastAsiaTheme="minorEastAsia"/>
          <w:color w:val="000000" w:themeColor="text1"/>
          <w:lang w:eastAsia="en-IE"/>
        </w:rPr>
        <w:t>Open Data Training for the Autumn</w:t>
      </w:r>
    </w:p>
    <w:p w14:paraId="5AE23CAA" w14:textId="79AAD797" w:rsidR="2E315FD2" w:rsidRDefault="2E315FD2" w:rsidP="2E315FD2">
      <w:pPr>
        <w:spacing w:beforeAutospacing="1" w:afterAutospacing="1" w:line="240" w:lineRule="auto"/>
        <w:rPr>
          <w:rFonts w:eastAsiaTheme="minorEastAsia"/>
          <w:color w:val="000000" w:themeColor="text1"/>
          <w:lang w:eastAsia="en-IE"/>
        </w:rPr>
      </w:pPr>
    </w:p>
    <w:p w14:paraId="17F021D2" w14:textId="4BB1E93A" w:rsidR="2E315FD2" w:rsidRDefault="2E315FD2" w:rsidP="2E315FD2">
      <w:pPr>
        <w:pStyle w:val="Heading2"/>
        <w:rPr>
          <w:rFonts w:eastAsiaTheme="minorEastAsia"/>
          <w:color w:val="000000" w:themeColor="text1"/>
          <w:lang w:eastAsia="en-IE"/>
        </w:rPr>
      </w:pPr>
      <w:r w:rsidRPr="2E315FD2">
        <w:t>Open Data Training:</w:t>
      </w:r>
    </w:p>
    <w:p w14:paraId="465E015B" w14:textId="1CC0419C" w:rsidR="2E315FD2" w:rsidRDefault="2E315FD2" w:rsidP="2E315FD2">
      <w:pPr>
        <w:spacing w:beforeAutospacing="1" w:afterAutospacing="1" w:line="240" w:lineRule="auto"/>
        <w:rPr>
          <w:rFonts w:eastAsiaTheme="minorEastAsia"/>
          <w:color w:val="000000" w:themeColor="text1"/>
          <w:lang w:eastAsia="en-IE"/>
        </w:rPr>
      </w:pPr>
      <w:r w:rsidRPr="2E315FD2">
        <w:rPr>
          <w:rFonts w:eastAsiaTheme="minorEastAsia"/>
          <w:color w:val="000000" w:themeColor="text1"/>
          <w:lang w:eastAsia="en-IE"/>
        </w:rPr>
        <w:t xml:space="preserve">In order to address the low uptake in Open Data Training as mentioned in the previous Risk Register, the Open Data Unit ran a successful communications and marketing campaign. The Open Data Unit worked with the Department's Communications team to design an awareness poster about Open Data Training. We circulated this to all ODLOs, and tapped into various new networks such as all L&amp;D teams within departments. This led to a dramatic increase in training with no courses cancelled, as they had been previously. </w:t>
      </w:r>
    </w:p>
    <w:p w14:paraId="0357C0C1" w14:textId="36EACCE4" w:rsidR="00B327A9" w:rsidRDefault="00F87D99" w:rsidP="00B327A9">
      <w:pPr>
        <w:spacing w:after="120"/>
        <w:jc w:val="both"/>
        <w:rPr>
          <w:rFonts w:eastAsiaTheme="minorEastAsia"/>
          <w:color w:val="000000" w:themeColor="text1"/>
          <w:lang w:eastAsia="en-IE"/>
        </w:rPr>
      </w:pPr>
      <w:r>
        <w:rPr>
          <w:rFonts w:eastAsiaTheme="minorEastAsia"/>
          <w:color w:val="000000" w:themeColor="text1"/>
          <w:lang w:eastAsia="en-IE"/>
        </w:rPr>
        <w:t>The current training framework will expire at the end of 2025 and the ODU are research alternative training delivery models.</w:t>
      </w:r>
    </w:p>
    <w:p w14:paraId="68C309D0" w14:textId="77777777" w:rsidR="00F87D99" w:rsidRDefault="00F87D99" w:rsidP="00B327A9">
      <w:pPr>
        <w:spacing w:after="120"/>
        <w:jc w:val="both"/>
        <w:rPr>
          <w:rFonts w:asciiTheme="majorHAnsi" w:eastAsiaTheme="majorEastAsia" w:hAnsiTheme="majorHAnsi" w:cstheme="majorBidi"/>
          <w:b/>
          <w:bCs/>
          <w:color w:val="2E74B5" w:themeColor="accent1" w:themeShade="BF"/>
          <w:sz w:val="26"/>
          <w:szCs w:val="26"/>
        </w:rPr>
      </w:pPr>
    </w:p>
    <w:p w14:paraId="4D64905C" w14:textId="5D7F9A85" w:rsidR="00B327A9" w:rsidRPr="00B327A9" w:rsidRDefault="00B327A9" w:rsidP="00B327A9">
      <w:pPr>
        <w:spacing w:after="120"/>
        <w:jc w:val="both"/>
        <w:rPr>
          <w:rFonts w:asciiTheme="majorHAnsi" w:eastAsiaTheme="majorEastAsia" w:hAnsiTheme="majorHAnsi" w:cstheme="majorBidi"/>
          <w:b/>
          <w:bCs/>
          <w:color w:val="2E74B5" w:themeColor="accent1" w:themeShade="BF"/>
          <w:sz w:val="26"/>
          <w:szCs w:val="26"/>
        </w:rPr>
      </w:pPr>
      <w:r w:rsidRPr="00B327A9">
        <w:rPr>
          <w:rFonts w:asciiTheme="majorHAnsi" w:eastAsiaTheme="majorEastAsia" w:hAnsiTheme="majorHAnsi" w:cstheme="majorBidi"/>
          <w:b/>
          <w:bCs/>
          <w:color w:val="2E74B5" w:themeColor="accent1" w:themeShade="BF"/>
          <w:sz w:val="26"/>
          <w:szCs w:val="26"/>
        </w:rPr>
        <w:t>New Public Sector Data Strategy 2030</w:t>
      </w:r>
    </w:p>
    <w:p w14:paraId="63F23910" w14:textId="2602FECD" w:rsidR="00B52095" w:rsidRDefault="00B327A9" w:rsidP="00B327A9">
      <w:pPr>
        <w:spacing w:after="120"/>
        <w:jc w:val="both"/>
      </w:pPr>
      <w:r>
        <w:t>The Open Data Unit as part of a cross departmental working group in DPENDR has been developing the next iteration of the Public Sector Data Strategy 2030. We have been working to ensure that the public sector data strategy aligns in parallel to the Open Data Strategy on enhancing the accessibility and quality of data across the public sector. In essence, the new Public Sector Data Strategy 2030 aims to foster a data driven culture within the public service, promoting transparency, innovation, and improved public services.</w:t>
      </w:r>
    </w:p>
    <w:p w14:paraId="7B2BA4FD" w14:textId="77777777" w:rsidR="00FA5E4F" w:rsidRDefault="00FA5E4F" w:rsidP="2E315FD2">
      <w:pPr>
        <w:spacing w:after="0"/>
      </w:pPr>
    </w:p>
    <w:p w14:paraId="4A511887" w14:textId="69A507DD" w:rsidR="00D76834" w:rsidRPr="002C490E" w:rsidRDefault="2E315FD2" w:rsidP="2E315FD2">
      <w:pPr>
        <w:spacing w:after="0"/>
        <w:rPr>
          <w:b/>
          <w:bCs/>
        </w:rPr>
      </w:pPr>
      <w:r w:rsidRPr="2E315FD2">
        <w:rPr>
          <w:rFonts w:asciiTheme="majorHAnsi" w:eastAsiaTheme="majorEastAsia" w:hAnsiTheme="majorHAnsi" w:cstheme="majorBidi"/>
          <w:b/>
          <w:bCs/>
          <w:color w:val="2E74B5" w:themeColor="accent1" w:themeShade="BF"/>
          <w:sz w:val="26"/>
          <w:szCs w:val="26"/>
        </w:rPr>
        <w:t>Open Data Maturity Survey 2025:</w:t>
      </w:r>
    </w:p>
    <w:p w14:paraId="5F72A36A" w14:textId="0905F9AC" w:rsidR="2E315FD2" w:rsidRDefault="2E315FD2" w:rsidP="2E315FD2">
      <w:pPr>
        <w:spacing w:after="0"/>
        <w:rPr>
          <w:rFonts w:eastAsiaTheme="minorEastAsia"/>
        </w:rPr>
      </w:pPr>
      <w:r>
        <w:t>The Open Data Unit have submitted the first draft of the Open Data Maturity Survey 2025. The deadline for the first draft of the survey was the 14</w:t>
      </w:r>
      <w:r w:rsidRPr="2E315FD2">
        <w:rPr>
          <w:vertAlign w:val="superscript"/>
        </w:rPr>
        <w:t>th</w:t>
      </w:r>
      <w:r>
        <w:t xml:space="preserve"> of May. </w:t>
      </w:r>
      <w:r w:rsidRPr="2E315FD2">
        <w:rPr>
          <w:rFonts w:eastAsiaTheme="minorEastAsia"/>
        </w:rPr>
        <w:t xml:space="preserve">There will be an option to review/clarify answers in early autumn. </w:t>
      </w:r>
    </w:p>
    <w:p w14:paraId="03EB5BBC" w14:textId="04FAC8A8" w:rsidR="301EFF0F" w:rsidRDefault="301EFF0F" w:rsidP="2E315FD2">
      <w:pPr>
        <w:spacing w:after="0"/>
        <w:rPr>
          <w:rFonts w:eastAsiaTheme="minorEastAsia"/>
        </w:rPr>
      </w:pPr>
    </w:p>
    <w:p w14:paraId="69BB7F0F" w14:textId="0F1287C5" w:rsidR="646905DD" w:rsidRPr="0074146C" w:rsidRDefault="2E315FD2" w:rsidP="0074146C">
      <w:pPr>
        <w:pStyle w:val="ListParagraph"/>
        <w:numPr>
          <w:ilvl w:val="0"/>
          <w:numId w:val="8"/>
        </w:numPr>
        <w:rPr>
          <w:rFonts w:ascii="Calibri Light" w:eastAsia="Calibri Light" w:hAnsi="Calibri Light" w:cs="Calibri Light"/>
          <w:b/>
          <w:bCs/>
          <w:color w:val="2E74B5" w:themeColor="accent1" w:themeShade="BF"/>
          <w:sz w:val="26"/>
          <w:szCs w:val="26"/>
        </w:rPr>
      </w:pPr>
      <w:r w:rsidRPr="2E315FD2">
        <w:rPr>
          <w:rFonts w:ascii="Calibri Light" w:eastAsia="Calibri Light" w:hAnsi="Calibri Light" w:cs="Calibri Light"/>
          <w:b/>
          <w:bCs/>
          <w:color w:val="2E74B5" w:themeColor="accent1" w:themeShade="BF"/>
          <w:sz w:val="26"/>
          <w:szCs w:val="26"/>
        </w:rPr>
        <w:t>Risk Register:</w:t>
      </w:r>
    </w:p>
    <w:p w14:paraId="707F6D81" w14:textId="2AAA8EBD" w:rsidR="00B4714D" w:rsidRDefault="2E315FD2" w:rsidP="2E315FD2">
      <w:pPr>
        <w:pStyle w:val="ListParagraph"/>
        <w:numPr>
          <w:ilvl w:val="0"/>
          <w:numId w:val="5"/>
        </w:numPr>
        <w:spacing w:after="120"/>
        <w:rPr>
          <w:color w:val="2E74B5" w:themeColor="accent1" w:themeShade="BF"/>
        </w:rPr>
      </w:pPr>
      <w:r w:rsidRPr="2E315FD2">
        <w:rPr>
          <w:rFonts w:eastAsiaTheme="minorEastAsia"/>
        </w:rPr>
        <w:t xml:space="preserve">The majority of activity items in the attached tracker are going as planned and are on schedule. </w:t>
      </w:r>
    </w:p>
    <w:p w14:paraId="13F3D956" w14:textId="037693E4" w:rsidR="2E315FD2" w:rsidRDefault="2E315FD2" w:rsidP="2E315FD2">
      <w:pPr>
        <w:pStyle w:val="ListParagraph"/>
        <w:numPr>
          <w:ilvl w:val="0"/>
          <w:numId w:val="5"/>
        </w:numPr>
        <w:spacing w:after="120"/>
        <w:rPr>
          <w:color w:val="2E74B5" w:themeColor="accent1" w:themeShade="BF"/>
        </w:rPr>
      </w:pPr>
      <w:r w:rsidRPr="2E315FD2">
        <w:rPr>
          <w:rFonts w:eastAsiaTheme="minorEastAsia"/>
        </w:rPr>
        <w:t>As mentioned previously, there is no 2025 Open Data Engagement Fund. This may</w:t>
      </w:r>
      <w:r w:rsidR="00F87D99">
        <w:rPr>
          <w:rFonts w:eastAsiaTheme="minorEastAsia"/>
        </w:rPr>
        <w:t xml:space="preserve"> impact the communications we have with our network and Ireland’s ranking of Open Data maturity in the EU. There will be a more detailed presentation on this further down the agenda.</w:t>
      </w:r>
      <w:bookmarkStart w:id="0" w:name="_GoBack"/>
      <w:bookmarkEnd w:id="0"/>
    </w:p>
    <w:p w14:paraId="77C4DBA6" w14:textId="75B24C6D" w:rsidR="646905DD" w:rsidRDefault="646905DD" w:rsidP="646905DD">
      <w:pPr>
        <w:spacing w:after="0"/>
      </w:pPr>
    </w:p>
    <w:p w14:paraId="49FBF661" w14:textId="77777777" w:rsidR="00577F91" w:rsidRDefault="00577F91" w:rsidP="00D76834">
      <w:pPr>
        <w:spacing w:after="0"/>
        <w:rPr>
          <w:rFonts w:asciiTheme="majorHAnsi" w:eastAsiaTheme="majorEastAsia" w:hAnsiTheme="majorHAnsi" w:cstheme="majorBidi"/>
          <w:color w:val="2E74B5" w:themeColor="accent1" w:themeShade="BF"/>
          <w:sz w:val="26"/>
          <w:szCs w:val="26"/>
        </w:rPr>
      </w:pPr>
    </w:p>
    <w:p w14:paraId="2A352B50" w14:textId="77777777" w:rsidR="00F24BF7" w:rsidRDefault="00F24BF7" w:rsidP="00F24BF7">
      <w:pPr>
        <w:spacing w:after="0"/>
        <w:rPr>
          <w:rFonts w:asciiTheme="majorHAnsi" w:eastAsiaTheme="majorEastAsia" w:hAnsiTheme="majorHAnsi" w:cstheme="majorBidi"/>
          <w:color w:val="2E74B5" w:themeColor="accent1" w:themeShade="BF"/>
          <w:sz w:val="26"/>
          <w:szCs w:val="26"/>
        </w:rPr>
      </w:pPr>
    </w:p>
    <w:p w14:paraId="79C2B3F1" w14:textId="38904A69" w:rsidR="00F24BF7" w:rsidRDefault="7082CC87" w:rsidP="00586311">
      <w:r w:rsidRPr="00586311">
        <w:rPr>
          <w:rFonts w:eastAsiaTheme="minorEastAsia"/>
          <w:sz w:val="24"/>
          <w:szCs w:val="24"/>
        </w:rPr>
        <w:t xml:space="preserve"> </w:t>
      </w:r>
    </w:p>
    <w:sectPr w:rsidR="00F24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750"/>
    <w:multiLevelType w:val="hybridMultilevel"/>
    <w:tmpl w:val="89D4F8CE"/>
    <w:lvl w:ilvl="0" w:tplc="A57E4876">
      <w:start w:val="1"/>
      <w:numFmt w:val="bullet"/>
      <w:lvlText w:val=""/>
      <w:lvlJc w:val="left"/>
      <w:pPr>
        <w:ind w:left="720" w:hanging="360"/>
      </w:pPr>
      <w:rPr>
        <w:rFonts w:ascii="Symbol" w:hAnsi="Symbol" w:hint="default"/>
      </w:rPr>
    </w:lvl>
    <w:lvl w:ilvl="1" w:tplc="447CCAF2">
      <w:start w:val="1"/>
      <w:numFmt w:val="bullet"/>
      <w:lvlText w:val="o"/>
      <w:lvlJc w:val="left"/>
      <w:pPr>
        <w:ind w:left="1440" w:hanging="360"/>
      </w:pPr>
      <w:rPr>
        <w:rFonts w:ascii="Courier New" w:hAnsi="Courier New" w:hint="default"/>
      </w:rPr>
    </w:lvl>
    <w:lvl w:ilvl="2" w:tplc="312CB536">
      <w:start w:val="1"/>
      <w:numFmt w:val="bullet"/>
      <w:lvlText w:val=""/>
      <w:lvlJc w:val="left"/>
      <w:pPr>
        <w:ind w:left="2160" w:hanging="360"/>
      </w:pPr>
      <w:rPr>
        <w:rFonts w:ascii="Wingdings" w:hAnsi="Wingdings" w:hint="default"/>
      </w:rPr>
    </w:lvl>
    <w:lvl w:ilvl="3" w:tplc="85B629DE">
      <w:start w:val="1"/>
      <w:numFmt w:val="bullet"/>
      <w:lvlText w:val=""/>
      <w:lvlJc w:val="left"/>
      <w:pPr>
        <w:ind w:left="2880" w:hanging="360"/>
      </w:pPr>
      <w:rPr>
        <w:rFonts w:ascii="Symbol" w:hAnsi="Symbol" w:hint="default"/>
      </w:rPr>
    </w:lvl>
    <w:lvl w:ilvl="4" w:tplc="87901998">
      <w:start w:val="1"/>
      <w:numFmt w:val="bullet"/>
      <w:lvlText w:val="o"/>
      <w:lvlJc w:val="left"/>
      <w:pPr>
        <w:ind w:left="3600" w:hanging="360"/>
      </w:pPr>
      <w:rPr>
        <w:rFonts w:ascii="Courier New" w:hAnsi="Courier New" w:hint="default"/>
      </w:rPr>
    </w:lvl>
    <w:lvl w:ilvl="5" w:tplc="4E4E8954">
      <w:start w:val="1"/>
      <w:numFmt w:val="bullet"/>
      <w:lvlText w:val=""/>
      <w:lvlJc w:val="left"/>
      <w:pPr>
        <w:ind w:left="4320" w:hanging="360"/>
      </w:pPr>
      <w:rPr>
        <w:rFonts w:ascii="Wingdings" w:hAnsi="Wingdings" w:hint="default"/>
      </w:rPr>
    </w:lvl>
    <w:lvl w:ilvl="6" w:tplc="D038872A">
      <w:start w:val="1"/>
      <w:numFmt w:val="bullet"/>
      <w:lvlText w:val=""/>
      <w:lvlJc w:val="left"/>
      <w:pPr>
        <w:ind w:left="5040" w:hanging="360"/>
      </w:pPr>
      <w:rPr>
        <w:rFonts w:ascii="Symbol" w:hAnsi="Symbol" w:hint="default"/>
      </w:rPr>
    </w:lvl>
    <w:lvl w:ilvl="7" w:tplc="D930C47A">
      <w:start w:val="1"/>
      <w:numFmt w:val="bullet"/>
      <w:lvlText w:val="o"/>
      <w:lvlJc w:val="left"/>
      <w:pPr>
        <w:ind w:left="5760" w:hanging="360"/>
      </w:pPr>
      <w:rPr>
        <w:rFonts w:ascii="Courier New" w:hAnsi="Courier New" w:hint="default"/>
      </w:rPr>
    </w:lvl>
    <w:lvl w:ilvl="8" w:tplc="380CAA22">
      <w:start w:val="1"/>
      <w:numFmt w:val="bullet"/>
      <w:lvlText w:val=""/>
      <w:lvlJc w:val="left"/>
      <w:pPr>
        <w:ind w:left="6480" w:hanging="360"/>
      </w:pPr>
      <w:rPr>
        <w:rFonts w:ascii="Wingdings" w:hAnsi="Wingdings" w:hint="default"/>
      </w:rPr>
    </w:lvl>
  </w:abstractNum>
  <w:abstractNum w:abstractNumId="1" w15:restartNumberingAfterBreak="0">
    <w:nsid w:val="186B7727"/>
    <w:multiLevelType w:val="hybridMultilevel"/>
    <w:tmpl w:val="E2A46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136FFA"/>
    <w:multiLevelType w:val="hybridMultilevel"/>
    <w:tmpl w:val="29E6E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057B1E"/>
    <w:multiLevelType w:val="hybridMultilevel"/>
    <w:tmpl w:val="170EB4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7E1D70"/>
    <w:multiLevelType w:val="hybridMultilevel"/>
    <w:tmpl w:val="0B3442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2553F7"/>
    <w:multiLevelType w:val="hybridMultilevel"/>
    <w:tmpl w:val="018CD21C"/>
    <w:lvl w:ilvl="0" w:tplc="367EDEA2">
      <w:start w:val="1"/>
      <w:numFmt w:val="bullet"/>
      <w:lvlText w:val=""/>
      <w:lvlJc w:val="left"/>
      <w:pPr>
        <w:ind w:left="720" w:hanging="360"/>
      </w:pPr>
      <w:rPr>
        <w:rFonts w:ascii="Symbol" w:hAnsi="Symbol" w:hint="default"/>
      </w:rPr>
    </w:lvl>
    <w:lvl w:ilvl="1" w:tplc="8C203272">
      <w:start w:val="1"/>
      <w:numFmt w:val="bullet"/>
      <w:lvlText w:val="o"/>
      <w:lvlJc w:val="left"/>
      <w:pPr>
        <w:ind w:left="1440" w:hanging="360"/>
      </w:pPr>
      <w:rPr>
        <w:rFonts w:ascii="Courier New" w:hAnsi="Courier New" w:hint="default"/>
      </w:rPr>
    </w:lvl>
    <w:lvl w:ilvl="2" w:tplc="B75CE8DE">
      <w:start w:val="1"/>
      <w:numFmt w:val="bullet"/>
      <w:lvlText w:val=""/>
      <w:lvlJc w:val="left"/>
      <w:pPr>
        <w:ind w:left="2160" w:hanging="360"/>
      </w:pPr>
      <w:rPr>
        <w:rFonts w:ascii="Wingdings" w:hAnsi="Wingdings" w:hint="default"/>
      </w:rPr>
    </w:lvl>
    <w:lvl w:ilvl="3" w:tplc="149C0602">
      <w:start w:val="1"/>
      <w:numFmt w:val="bullet"/>
      <w:lvlText w:val=""/>
      <w:lvlJc w:val="left"/>
      <w:pPr>
        <w:ind w:left="2880" w:hanging="360"/>
      </w:pPr>
      <w:rPr>
        <w:rFonts w:ascii="Symbol" w:hAnsi="Symbol" w:hint="default"/>
      </w:rPr>
    </w:lvl>
    <w:lvl w:ilvl="4" w:tplc="B39C0892">
      <w:start w:val="1"/>
      <w:numFmt w:val="bullet"/>
      <w:lvlText w:val="o"/>
      <w:lvlJc w:val="left"/>
      <w:pPr>
        <w:ind w:left="3600" w:hanging="360"/>
      </w:pPr>
      <w:rPr>
        <w:rFonts w:ascii="Courier New" w:hAnsi="Courier New" w:hint="default"/>
      </w:rPr>
    </w:lvl>
    <w:lvl w:ilvl="5" w:tplc="42BA623E">
      <w:start w:val="1"/>
      <w:numFmt w:val="bullet"/>
      <w:lvlText w:val=""/>
      <w:lvlJc w:val="left"/>
      <w:pPr>
        <w:ind w:left="4320" w:hanging="360"/>
      </w:pPr>
      <w:rPr>
        <w:rFonts w:ascii="Wingdings" w:hAnsi="Wingdings" w:hint="default"/>
      </w:rPr>
    </w:lvl>
    <w:lvl w:ilvl="6" w:tplc="4E044EC6">
      <w:start w:val="1"/>
      <w:numFmt w:val="bullet"/>
      <w:lvlText w:val=""/>
      <w:lvlJc w:val="left"/>
      <w:pPr>
        <w:ind w:left="5040" w:hanging="360"/>
      </w:pPr>
      <w:rPr>
        <w:rFonts w:ascii="Symbol" w:hAnsi="Symbol" w:hint="default"/>
      </w:rPr>
    </w:lvl>
    <w:lvl w:ilvl="7" w:tplc="51FEDDC2">
      <w:start w:val="1"/>
      <w:numFmt w:val="bullet"/>
      <w:lvlText w:val="o"/>
      <w:lvlJc w:val="left"/>
      <w:pPr>
        <w:ind w:left="5760" w:hanging="360"/>
      </w:pPr>
      <w:rPr>
        <w:rFonts w:ascii="Courier New" w:hAnsi="Courier New" w:hint="default"/>
      </w:rPr>
    </w:lvl>
    <w:lvl w:ilvl="8" w:tplc="EBDC0E14">
      <w:start w:val="1"/>
      <w:numFmt w:val="bullet"/>
      <w:lvlText w:val=""/>
      <w:lvlJc w:val="left"/>
      <w:pPr>
        <w:ind w:left="6480" w:hanging="360"/>
      </w:pPr>
      <w:rPr>
        <w:rFonts w:ascii="Wingdings" w:hAnsi="Wingdings" w:hint="default"/>
      </w:rPr>
    </w:lvl>
  </w:abstractNum>
  <w:abstractNum w:abstractNumId="6" w15:restartNumberingAfterBreak="0">
    <w:nsid w:val="3ADF36A3"/>
    <w:multiLevelType w:val="hybridMultilevel"/>
    <w:tmpl w:val="B2C85AF6"/>
    <w:lvl w:ilvl="0" w:tplc="23FE2774">
      <w:start w:val="1"/>
      <w:numFmt w:val="bullet"/>
      <w:lvlText w:val=""/>
      <w:lvlJc w:val="left"/>
      <w:pPr>
        <w:ind w:left="720" w:hanging="360"/>
      </w:pPr>
      <w:rPr>
        <w:rFonts w:ascii="Symbol" w:hAnsi="Symbol" w:hint="default"/>
      </w:rPr>
    </w:lvl>
    <w:lvl w:ilvl="1" w:tplc="0DF4CA42">
      <w:start w:val="1"/>
      <w:numFmt w:val="bullet"/>
      <w:lvlText w:val="o"/>
      <w:lvlJc w:val="left"/>
      <w:pPr>
        <w:ind w:left="1440" w:hanging="360"/>
      </w:pPr>
      <w:rPr>
        <w:rFonts w:ascii="Courier New" w:hAnsi="Courier New" w:hint="default"/>
      </w:rPr>
    </w:lvl>
    <w:lvl w:ilvl="2" w:tplc="D1DEBF2C">
      <w:start w:val="1"/>
      <w:numFmt w:val="bullet"/>
      <w:lvlText w:val=""/>
      <w:lvlJc w:val="left"/>
      <w:pPr>
        <w:ind w:left="2160" w:hanging="360"/>
      </w:pPr>
      <w:rPr>
        <w:rFonts w:ascii="Wingdings" w:hAnsi="Wingdings" w:hint="default"/>
      </w:rPr>
    </w:lvl>
    <w:lvl w:ilvl="3" w:tplc="86C0D3E6">
      <w:start w:val="1"/>
      <w:numFmt w:val="bullet"/>
      <w:lvlText w:val=""/>
      <w:lvlJc w:val="left"/>
      <w:pPr>
        <w:ind w:left="2880" w:hanging="360"/>
      </w:pPr>
      <w:rPr>
        <w:rFonts w:ascii="Symbol" w:hAnsi="Symbol" w:hint="default"/>
      </w:rPr>
    </w:lvl>
    <w:lvl w:ilvl="4" w:tplc="C7FA54E2">
      <w:start w:val="1"/>
      <w:numFmt w:val="bullet"/>
      <w:lvlText w:val="o"/>
      <w:lvlJc w:val="left"/>
      <w:pPr>
        <w:ind w:left="3600" w:hanging="360"/>
      </w:pPr>
      <w:rPr>
        <w:rFonts w:ascii="Courier New" w:hAnsi="Courier New" w:hint="default"/>
      </w:rPr>
    </w:lvl>
    <w:lvl w:ilvl="5" w:tplc="F68A9856">
      <w:start w:val="1"/>
      <w:numFmt w:val="bullet"/>
      <w:lvlText w:val=""/>
      <w:lvlJc w:val="left"/>
      <w:pPr>
        <w:ind w:left="4320" w:hanging="360"/>
      </w:pPr>
      <w:rPr>
        <w:rFonts w:ascii="Wingdings" w:hAnsi="Wingdings" w:hint="default"/>
      </w:rPr>
    </w:lvl>
    <w:lvl w:ilvl="6" w:tplc="AA227D7E">
      <w:start w:val="1"/>
      <w:numFmt w:val="bullet"/>
      <w:lvlText w:val=""/>
      <w:lvlJc w:val="left"/>
      <w:pPr>
        <w:ind w:left="5040" w:hanging="360"/>
      </w:pPr>
      <w:rPr>
        <w:rFonts w:ascii="Symbol" w:hAnsi="Symbol" w:hint="default"/>
      </w:rPr>
    </w:lvl>
    <w:lvl w:ilvl="7" w:tplc="B85AC61C">
      <w:start w:val="1"/>
      <w:numFmt w:val="bullet"/>
      <w:lvlText w:val="o"/>
      <w:lvlJc w:val="left"/>
      <w:pPr>
        <w:ind w:left="5760" w:hanging="360"/>
      </w:pPr>
      <w:rPr>
        <w:rFonts w:ascii="Courier New" w:hAnsi="Courier New" w:hint="default"/>
      </w:rPr>
    </w:lvl>
    <w:lvl w:ilvl="8" w:tplc="B512244C">
      <w:start w:val="1"/>
      <w:numFmt w:val="bullet"/>
      <w:lvlText w:val=""/>
      <w:lvlJc w:val="left"/>
      <w:pPr>
        <w:ind w:left="6480" w:hanging="360"/>
      </w:pPr>
      <w:rPr>
        <w:rFonts w:ascii="Wingdings" w:hAnsi="Wingdings" w:hint="default"/>
      </w:rPr>
    </w:lvl>
  </w:abstractNum>
  <w:abstractNum w:abstractNumId="7" w15:restartNumberingAfterBreak="0">
    <w:nsid w:val="43AE383C"/>
    <w:multiLevelType w:val="hybridMultilevel"/>
    <w:tmpl w:val="0672B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DE79F7"/>
    <w:multiLevelType w:val="hybridMultilevel"/>
    <w:tmpl w:val="848EAA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63604C"/>
    <w:multiLevelType w:val="hybridMultilevel"/>
    <w:tmpl w:val="25D26006"/>
    <w:lvl w:ilvl="0" w:tplc="48A6939C">
      <w:start w:val="1"/>
      <w:numFmt w:val="bullet"/>
      <w:lvlText w:val=""/>
      <w:lvlJc w:val="left"/>
      <w:pPr>
        <w:ind w:left="720" w:hanging="360"/>
      </w:pPr>
      <w:rPr>
        <w:rFonts w:ascii="Symbol" w:hAnsi="Symbol" w:hint="default"/>
      </w:rPr>
    </w:lvl>
    <w:lvl w:ilvl="1" w:tplc="2B2E0768">
      <w:start w:val="1"/>
      <w:numFmt w:val="bullet"/>
      <w:lvlText w:val="o"/>
      <w:lvlJc w:val="left"/>
      <w:pPr>
        <w:ind w:left="1440" w:hanging="360"/>
      </w:pPr>
      <w:rPr>
        <w:rFonts w:ascii="Courier New" w:hAnsi="Courier New" w:hint="default"/>
      </w:rPr>
    </w:lvl>
    <w:lvl w:ilvl="2" w:tplc="87681514">
      <w:start w:val="1"/>
      <w:numFmt w:val="bullet"/>
      <w:lvlText w:val=""/>
      <w:lvlJc w:val="left"/>
      <w:pPr>
        <w:ind w:left="2160" w:hanging="360"/>
      </w:pPr>
      <w:rPr>
        <w:rFonts w:ascii="Wingdings" w:hAnsi="Wingdings" w:hint="default"/>
      </w:rPr>
    </w:lvl>
    <w:lvl w:ilvl="3" w:tplc="27706480">
      <w:start w:val="1"/>
      <w:numFmt w:val="bullet"/>
      <w:lvlText w:val=""/>
      <w:lvlJc w:val="left"/>
      <w:pPr>
        <w:ind w:left="2880" w:hanging="360"/>
      </w:pPr>
      <w:rPr>
        <w:rFonts w:ascii="Symbol" w:hAnsi="Symbol" w:hint="default"/>
      </w:rPr>
    </w:lvl>
    <w:lvl w:ilvl="4" w:tplc="23223DF4">
      <w:start w:val="1"/>
      <w:numFmt w:val="bullet"/>
      <w:lvlText w:val="o"/>
      <w:lvlJc w:val="left"/>
      <w:pPr>
        <w:ind w:left="3600" w:hanging="360"/>
      </w:pPr>
      <w:rPr>
        <w:rFonts w:ascii="Courier New" w:hAnsi="Courier New" w:hint="default"/>
      </w:rPr>
    </w:lvl>
    <w:lvl w:ilvl="5" w:tplc="497A1C0E">
      <w:start w:val="1"/>
      <w:numFmt w:val="bullet"/>
      <w:lvlText w:val=""/>
      <w:lvlJc w:val="left"/>
      <w:pPr>
        <w:ind w:left="4320" w:hanging="360"/>
      </w:pPr>
      <w:rPr>
        <w:rFonts w:ascii="Wingdings" w:hAnsi="Wingdings" w:hint="default"/>
      </w:rPr>
    </w:lvl>
    <w:lvl w:ilvl="6" w:tplc="A392C272">
      <w:start w:val="1"/>
      <w:numFmt w:val="bullet"/>
      <w:lvlText w:val=""/>
      <w:lvlJc w:val="left"/>
      <w:pPr>
        <w:ind w:left="5040" w:hanging="360"/>
      </w:pPr>
      <w:rPr>
        <w:rFonts w:ascii="Symbol" w:hAnsi="Symbol" w:hint="default"/>
      </w:rPr>
    </w:lvl>
    <w:lvl w:ilvl="7" w:tplc="2B4A3D00">
      <w:start w:val="1"/>
      <w:numFmt w:val="bullet"/>
      <w:lvlText w:val="o"/>
      <w:lvlJc w:val="left"/>
      <w:pPr>
        <w:ind w:left="5760" w:hanging="360"/>
      </w:pPr>
      <w:rPr>
        <w:rFonts w:ascii="Courier New" w:hAnsi="Courier New" w:hint="default"/>
      </w:rPr>
    </w:lvl>
    <w:lvl w:ilvl="8" w:tplc="ABC4E95E">
      <w:start w:val="1"/>
      <w:numFmt w:val="bullet"/>
      <w:lvlText w:val=""/>
      <w:lvlJc w:val="left"/>
      <w:pPr>
        <w:ind w:left="6480" w:hanging="360"/>
      </w:pPr>
      <w:rPr>
        <w:rFonts w:ascii="Wingdings" w:hAnsi="Wingdings" w:hint="default"/>
      </w:rPr>
    </w:lvl>
  </w:abstractNum>
  <w:abstractNum w:abstractNumId="10" w15:restartNumberingAfterBreak="0">
    <w:nsid w:val="56204EC2"/>
    <w:multiLevelType w:val="hybridMultilevel"/>
    <w:tmpl w:val="6CEC13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995BBC"/>
    <w:multiLevelType w:val="hybridMultilevel"/>
    <w:tmpl w:val="29FE38C2"/>
    <w:lvl w:ilvl="0" w:tplc="F10A931E">
      <w:start w:val="1"/>
      <w:numFmt w:val="bullet"/>
      <w:lvlText w:val=""/>
      <w:lvlJc w:val="left"/>
      <w:pPr>
        <w:ind w:left="720" w:hanging="360"/>
      </w:pPr>
      <w:rPr>
        <w:rFonts w:ascii="Symbol" w:hAnsi="Symbol" w:hint="default"/>
      </w:rPr>
    </w:lvl>
    <w:lvl w:ilvl="1" w:tplc="57BEA0B4">
      <w:start w:val="1"/>
      <w:numFmt w:val="bullet"/>
      <w:lvlText w:val="o"/>
      <w:lvlJc w:val="left"/>
      <w:pPr>
        <w:ind w:left="1440" w:hanging="360"/>
      </w:pPr>
      <w:rPr>
        <w:rFonts w:ascii="Courier New" w:hAnsi="Courier New" w:hint="default"/>
      </w:rPr>
    </w:lvl>
    <w:lvl w:ilvl="2" w:tplc="C0F2BCDA">
      <w:start w:val="1"/>
      <w:numFmt w:val="bullet"/>
      <w:lvlText w:val=""/>
      <w:lvlJc w:val="left"/>
      <w:pPr>
        <w:ind w:left="2160" w:hanging="360"/>
      </w:pPr>
      <w:rPr>
        <w:rFonts w:ascii="Wingdings" w:hAnsi="Wingdings" w:hint="default"/>
      </w:rPr>
    </w:lvl>
    <w:lvl w:ilvl="3" w:tplc="7B36226E">
      <w:start w:val="1"/>
      <w:numFmt w:val="bullet"/>
      <w:lvlText w:val=""/>
      <w:lvlJc w:val="left"/>
      <w:pPr>
        <w:ind w:left="2880" w:hanging="360"/>
      </w:pPr>
      <w:rPr>
        <w:rFonts w:ascii="Symbol" w:hAnsi="Symbol" w:hint="default"/>
      </w:rPr>
    </w:lvl>
    <w:lvl w:ilvl="4" w:tplc="2BC23F72">
      <w:start w:val="1"/>
      <w:numFmt w:val="bullet"/>
      <w:lvlText w:val="o"/>
      <w:lvlJc w:val="left"/>
      <w:pPr>
        <w:ind w:left="3600" w:hanging="360"/>
      </w:pPr>
      <w:rPr>
        <w:rFonts w:ascii="Courier New" w:hAnsi="Courier New" w:hint="default"/>
      </w:rPr>
    </w:lvl>
    <w:lvl w:ilvl="5" w:tplc="7D0234EC">
      <w:start w:val="1"/>
      <w:numFmt w:val="bullet"/>
      <w:lvlText w:val=""/>
      <w:lvlJc w:val="left"/>
      <w:pPr>
        <w:ind w:left="4320" w:hanging="360"/>
      </w:pPr>
      <w:rPr>
        <w:rFonts w:ascii="Wingdings" w:hAnsi="Wingdings" w:hint="default"/>
      </w:rPr>
    </w:lvl>
    <w:lvl w:ilvl="6" w:tplc="96081898">
      <w:start w:val="1"/>
      <w:numFmt w:val="bullet"/>
      <w:lvlText w:val=""/>
      <w:lvlJc w:val="left"/>
      <w:pPr>
        <w:ind w:left="5040" w:hanging="360"/>
      </w:pPr>
      <w:rPr>
        <w:rFonts w:ascii="Symbol" w:hAnsi="Symbol" w:hint="default"/>
      </w:rPr>
    </w:lvl>
    <w:lvl w:ilvl="7" w:tplc="F0CEA566">
      <w:start w:val="1"/>
      <w:numFmt w:val="bullet"/>
      <w:lvlText w:val="o"/>
      <w:lvlJc w:val="left"/>
      <w:pPr>
        <w:ind w:left="5760" w:hanging="360"/>
      </w:pPr>
      <w:rPr>
        <w:rFonts w:ascii="Courier New" w:hAnsi="Courier New" w:hint="default"/>
      </w:rPr>
    </w:lvl>
    <w:lvl w:ilvl="8" w:tplc="A6F805BE">
      <w:start w:val="1"/>
      <w:numFmt w:val="bullet"/>
      <w:lvlText w:val=""/>
      <w:lvlJc w:val="left"/>
      <w:pPr>
        <w:ind w:left="6480" w:hanging="360"/>
      </w:pPr>
      <w:rPr>
        <w:rFonts w:ascii="Wingdings" w:hAnsi="Wingdings" w:hint="default"/>
      </w:rPr>
    </w:lvl>
  </w:abstractNum>
  <w:abstractNum w:abstractNumId="12" w15:restartNumberingAfterBreak="0">
    <w:nsid w:val="58602B05"/>
    <w:multiLevelType w:val="hybridMultilevel"/>
    <w:tmpl w:val="AB903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CE36BD"/>
    <w:multiLevelType w:val="hybridMultilevel"/>
    <w:tmpl w:val="7514FB40"/>
    <w:lvl w:ilvl="0" w:tplc="4F500E20">
      <w:start w:val="1"/>
      <w:numFmt w:val="bullet"/>
      <w:lvlText w:val=""/>
      <w:lvlJc w:val="left"/>
      <w:pPr>
        <w:ind w:left="720" w:hanging="360"/>
      </w:pPr>
      <w:rPr>
        <w:rFonts w:ascii="Symbol" w:hAnsi="Symbol" w:hint="default"/>
      </w:rPr>
    </w:lvl>
    <w:lvl w:ilvl="1" w:tplc="341A4CE8">
      <w:start w:val="1"/>
      <w:numFmt w:val="bullet"/>
      <w:lvlText w:val="o"/>
      <w:lvlJc w:val="left"/>
      <w:pPr>
        <w:ind w:left="1440" w:hanging="360"/>
      </w:pPr>
      <w:rPr>
        <w:rFonts w:ascii="Courier New" w:hAnsi="Courier New" w:hint="default"/>
      </w:rPr>
    </w:lvl>
    <w:lvl w:ilvl="2" w:tplc="F11AF684">
      <w:start w:val="1"/>
      <w:numFmt w:val="bullet"/>
      <w:lvlText w:val=""/>
      <w:lvlJc w:val="left"/>
      <w:pPr>
        <w:ind w:left="2160" w:hanging="360"/>
      </w:pPr>
      <w:rPr>
        <w:rFonts w:ascii="Wingdings" w:hAnsi="Wingdings" w:hint="default"/>
      </w:rPr>
    </w:lvl>
    <w:lvl w:ilvl="3" w:tplc="CD4C8FF0">
      <w:start w:val="1"/>
      <w:numFmt w:val="bullet"/>
      <w:lvlText w:val=""/>
      <w:lvlJc w:val="left"/>
      <w:pPr>
        <w:ind w:left="2880" w:hanging="360"/>
      </w:pPr>
      <w:rPr>
        <w:rFonts w:ascii="Symbol" w:hAnsi="Symbol" w:hint="default"/>
      </w:rPr>
    </w:lvl>
    <w:lvl w:ilvl="4" w:tplc="6C8A66B4">
      <w:start w:val="1"/>
      <w:numFmt w:val="bullet"/>
      <w:lvlText w:val="o"/>
      <w:lvlJc w:val="left"/>
      <w:pPr>
        <w:ind w:left="3600" w:hanging="360"/>
      </w:pPr>
      <w:rPr>
        <w:rFonts w:ascii="Courier New" w:hAnsi="Courier New" w:hint="default"/>
      </w:rPr>
    </w:lvl>
    <w:lvl w:ilvl="5" w:tplc="8578E3CE">
      <w:start w:val="1"/>
      <w:numFmt w:val="bullet"/>
      <w:lvlText w:val=""/>
      <w:lvlJc w:val="left"/>
      <w:pPr>
        <w:ind w:left="4320" w:hanging="360"/>
      </w:pPr>
      <w:rPr>
        <w:rFonts w:ascii="Wingdings" w:hAnsi="Wingdings" w:hint="default"/>
      </w:rPr>
    </w:lvl>
    <w:lvl w:ilvl="6" w:tplc="E8A25728">
      <w:start w:val="1"/>
      <w:numFmt w:val="bullet"/>
      <w:lvlText w:val=""/>
      <w:lvlJc w:val="left"/>
      <w:pPr>
        <w:ind w:left="5040" w:hanging="360"/>
      </w:pPr>
      <w:rPr>
        <w:rFonts w:ascii="Symbol" w:hAnsi="Symbol" w:hint="default"/>
      </w:rPr>
    </w:lvl>
    <w:lvl w:ilvl="7" w:tplc="F724C542">
      <w:start w:val="1"/>
      <w:numFmt w:val="bullet"/>
      <w:lvlText w:val="o"/>
      <w:lvlJc w:val="left"/>
      <w:pPr>
        <w:ind w:left="5760" w:hanging="360"/>
      </w:pPr>
      <w:rPr>
        <w:rFonts w:ascii="Courier New" w:hAnsi="Courier New" w:hint="default"/>
      </w:rPr>
    </w:lvl>
    <w:lvl w:ilvl="8" w:tplc="0B6A33FC">
      <w:start w:val="1"/>
      <w:numFmt w:val="bullet"/>
      <w:lvlText w:val=""/>
      <w:lvlJc w:val="left"/>
      <w:pPr>
        <w:ind w:left="6480" w:hanging="360"/>
      </w:pPr>
      <w:rPr>
        <w:rFonts w:ascii="Wingdings" w:hAnsi="Wingdings" w:hint="default"/>
      </w:rPr>
    </w:lvl>
  </w:abstractNum>
  <w:abstractNum w:abstractNumId="14" w15:restartNumberingAfterBreak="0">
    <w:nsid w:val="64490BF4"/>
    <w:multiLevelType w:val="hybridMultilevel"/>
    <w:tmpl w:val="5DD04A74"/>
    <w:lvl w:ilvl="0" w:tplc="C11AA74E">
      <w:start w:val="1"/>
      <w:numFmt w:val="bullet"/>
      <w:lvlText w:val=""/>
      <w:lvlJc w:val="left"/>
      <w:pPr>
        <w:ind w:left="720" w:hanging="360"/>
      </w:pPr>
      <w:rPr>
        <w:rFonts w:ascii="Symbol" w:hAnsi="Symbol" w:hint="default"/>
      </w:rPr>
    </w:lvl>
    <w:lvl w:ilvl="1" w:tplc="021C66C0">
      <w:start w:val="1"/>
      <w:numFmt w:val="bullet"/>
      <w:lvlText w:val="o"/>
      <w:lvlJc w:val="left"/>
      <w:pPr>
        <w:ind w:left="1440" w:hanging="360"/>
      </w:pPr>
      <w:rPr>
        <w:rFonts w:ascii="Courier New" w:hAnsi="Courier New" w:hint="default"/>
      </w:rPr>
    </w:lvl>
    <w:lvl w:ilvl="2" w:tplc="3B2C95A4">
      <w:start w:val="1"/>
      <w:numFmt w:val="bullet"/>
      <w:lvlText w:val=""/>
      <w:lvlJc w:val="left"/>
      <w:pPr>
        <w:ind w:left="2160" w:hanging="360"/>
      </w:pPr>
      <w:rPr>
        <w:rFonts w:ascii="Wingdings" w:hAnsi="Wingdings" w:hint="default"/>
      </w:rPr>
    </w:lvl>
    <w:lvl w:ilvl="3" w:tplc="3DB48A6A">
      <w:start w:val="1"/>
      <w:numFmt w:val="bullet"/>
      <w:lvlText w:val=""/>
      <w:lvlJc w:val="left"/>
      <w:pPr>
        <w:ind w:left="2880" w:hanging="360"/>
      </w:pPr>
      <w:rPr>
        <w:rFonts w:ascii="Symbol" w:hAnsi="Symbol" w:hint="default"/>
      </w:rPr>
    </w:lvl>
    <w:lvl w:ilvl="4" w:tplc="760E7D02">
      <w:start w:val="1"/>
      <w:numFmt w:val="bullet"/>
      <w:lvlText w:val="o"/>
      <w:lvlJc w:val="left"/>
      <w:pPr>
        <w:ind w:left="3600" w:hanging="360"/>
      </w:pPr>
      <w:rPr>
        <w:rFonts w:ascii="Courier New" w:hAnsi="Courier New" w:hint="default"/>
      </w:rPr>
    </w:lvl>
    <w:lvl w:ilvl="5" w:tplc="22FA2D84">
      <w:start w:val="1"/>
      <w:numFmt w:val="bullet"/>
      <w:lvlText w:val=""/>
      <w:lvlJc w:val="left"/>
      <w:pPr>
        <w:ind w:left="4320" w:hanging="360"/>
      </w:pPr>
      <w:rPr>
        <w:rFonts w:ascii="Wingdings" w:hAnsi="Wingdings" w:hint="default"/>
      </w:rPr>
    </w:lvl>
    <w:lvl w:ilvl="6" w:tplc="8C44AC34">
      <w:start w:val="1"/>
      <w:numFmt w:val="bullet"/>
      <w:lvlText w:val=""/>
      <w:lvlJc w:val="left"/>
      <w:pPr>
        <w:ind w:left="5040" w:hanging="360"/>
      </w:pPr>
      <w:rPr>
        <w:rFonts w:ascii="Symbol" w:hAnsi="Symbol" w:hint="default"/>
      </w:rPr>
    </w:lvl>
    <w:lvl w:ilvl="7" w:tplc="C8C26DAA">
      <w:start w:val="1"/>
      <w:numFmt w:val="bullet"/>
      <w:lvlText w:val="o"/>
      <w:lvlJc w:val="left"/>
      <w:pPr>
        <w:ind w:left="5760" w:hanging="360"/>
      </w:pPr>
      <w:rPr>
        <w:rFonts w:ascii="Courier New" w:hAnsi="Courier New" w:hint="default"/>
      </w:rPr>
    </w:lvl>
    <w:lvl w:ilvl="8" w:tplc="B024EB54">
      <w:start w:val="1"/>
      <w:numFmt w:val="bullet"/>
      <w:lvlText w:val=""/>
      <w:lvlJc w:val="left"/>
      <w:pPr>
        <w:ind w:left="6480" w:hanging="360"/>
      </w:pPr>
      <w:rPr>
        <w:rFonts w:ascii="Wingdings" w:hAnsi="Wingdings" w:hint="default"/>
      </w:rPr>
    </w:lvl>
  </w:abstractNum>
  <w:abstractNum w:abstractNumId="15" w15:restartNumberingAfterBreak="0">
    <w:nsid w:val="7475062B"/>
    <w:multiLevelType w:val="hybridMultilevel"/>
    <w:tmpl w:val="835E1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5754993"/>
    <w:multiLevelType w:val="multilevel"/>
    <w:tmpl w:val="B6CADE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3"/>
  </w:num>
  <w:num w:numId="3">
    <w:abstractNumId w:val="11"/>
  </w:num>
  <w:num w:numId="4">
    <w:abstractNumId w:val="14"/>
  </w:num>
  <w:num w:numId="5">
    <w:abstractNumId w:val="0"/>
  </w:num>
  <w:num w:numId="6">
    <w:abstractNumId w:val="9"/>
  </w:num>
  <w:num w:numId="7">
    <w:abstractNumId w:val="6"/>
  </w:num>
  <w:num w:numId="8">
    <w:abstractNumId w:val="8"/>
  </w:num>
  <w:num w:numId="9">
    <w:abstractNumId w:val="7"/>
  </w:num>
  <w:num w:numId="10">
    <w:abstractNumId w:val="3"/>
  </w:num>
  <w:num w:numId="11">
    <w:abstractNumId w:val="4"/>
  </w:num>
  <w:num w:numId="12">
    <w:abstractNumId w:val="15"/>
  </w:num>
  <w:num w:numId="13">
    <w:abstractNumId w:val="12"/>
  </w:num>
  <w:num w:numId="14">
    <w:abstractNumId w:val="16"/>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13"/>
    <w:rsid w:val="00043DB3"/>
    <w:rsid w:val="000613E3"/>
    <w:rsid w:val="00086DA7"/>
    <w:rsid w:val="000A6E44"/>
    <w:rsid w:val="0014336D"/>
    <w:rsid w:val="00184371"/>
    <w:rsid w:val="001B7364"/>
    <w:rsid w:val="001E38B8"/>
    <w:rsid w:val="00265913"/>
    <w:rsid w:val="002C490E"/>
    <w:rsid w:val="002C568E"/>
    <w:rsid w:val="002C7BB9"/>
    <w:rsid w:val="002D2AE9"/>
    <w:rsid w:val="002F432D"/>
    <w:rsid w:val="0033203C"/>
    <w:rsid w:val="003632D6"/>
    <w:rsid w:val="00376D7F"/>
    <w:rsid w:val="003D6221"/>
    <w:rsid w:val="003E2283"/>
    <w:rsid w:val="003F01FD"/>
    <w:rsid w:val="004310B4"/>
    <w:rsid w:val="00452408"/>
    <w:rsid w:val="00480ABD"/>
    <w:rsid w:val="004D08E6"/>
    <w:rsid w:val="004D46FA"/>
    <w:rsid w:val="004E7220"/>
    <w:rsid w:val="00577F91"/>
    <w:rsid w:val="00586311"/>
    <w:rsid w:val="005D31FF"/>
    <w:rsid w:val="005E3AB4"/>
    <w:rsid w:val="00632A9D"/>
    <w:rsid w:val="0065575A"/>
    <w:rsid w:val="00667C99"/>
    <w:rsid w:val="00696DE6"/>
    <w:rsid w:val="006C3FAC"/>
    <w:rsid w:val="0074146C"/>
    <w:rsid w:val="00776F28"/>
    <w:rsid w:val="007946E7"/>
    <w:rsid w:val="007A77C8"/>
    <w:rsid w:val="007C4A84"/>
    <w:rsid w:val="007D143F"/>
    <w:rsid w:val="00800C2A"/>
    <w:rsid w:val="00890241"/>
    <w:rsid w:val="008C19BA"/>
    <w:rsid w:val="008E7BF7"/>
    <w:rsid w:val="008F2141"/>
    <w:rsid w:val="00913BDD"/>
    <w:rsid w:val="0091677B"/>
    <w:rsid w:val="009A5A92"/>
    <w:rsid w:val="00A0624D"/>
    <w:rsid w:val="00A4320B"/>
    <w:rsid w:val="00A72827"/>
    <w:rsid w:val="00A94258"/>
    <w:rsid w:val="00B172AB"/>
    <w:rsid w:val="00B327A9"/>
    <w:rsid w:val="00B32FA4"/>
    <w:rsid w:val="00B4714D"/>
    <w:rsid w:val="00B52095"/>
    <w:rsid w:val="00B60033"/>
    <w:rsid w:val="00B66AB3"/>
    <w:rsid w:val="00B74EBE"/>
    <w:rsid w:val="00BA18A6"/>
    <w:rsid w:val="00C21ECD"/>
    <w:rsid w:val="00C840CD"/>
    <w:rsid w:val="00C87060"/>
    <w:rsid w:val="00C935A4"/>
    <w:rsid w:val="00CC3058"/>
    <w:rsid w:val="00CE11F3"/>
    <w:rsid w:val="00D00AD1"/>
    <w:rsid w:val="00D5425D"/>
    <w:rsid w:val="00D76834"/>
    <w:rsid w:val="00DA6999"/>
    <w:rsid w:val="00DE6625"/>
    <w:rsid w:val="00E16A65"/>
    <w:rsid w:val="00E43FBC"/>
    <w:rsid w:val="00EA0C80"/>
    <w:rsid w:val="00EA3DCF"/>
    <w:rsid w:val="00EC19CE"/>
    <w:rsid w:val="00F17637"/>
    <w:rsid w:val="00F22F88"/>
    <w:rsid w:val="00F24BF7"/>
    <w:rsid w:val="00F31B37"/>
    <w:rsid w:val="00F87D99"/>
    <w:rsid w:val="00FA5E4F"/>
    <w:rsid w:val="2E315FD2"/>
    <w:rsid w:val="301EFF0F"/>
    <w:rsid w:val="646905DD"/>
    <w:rsid w:val="7082CC87"/>
    <w:rsid w:val="72E3D2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75B1"/>
  <w15:chartTrackingRefBased/>
  <w15:docId w15:val="{DCE15B4B-9AF0-4F78-AFAD-83FFDC5F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A6"/>
    <w:pPr>
      <w:ind w:left="720"/>
      <w:contextualSpacing/>
    </w:pPr>
  </w:style>
  <w:style w:type="paragraph" w:styleId="NormalWeb">
    <w:name w:val="Normal (Web)"/>
    <w:basedOn w:val="Normal"/>
    <w:uiPriority w:val="99"/>
    <w:semiHidden/>
    <w:unhideWhenUsed/>
    <w:rsid w:val="00D7683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76834"/>
    <w:rPr>
      <w:color w:val="0000FF"/>
      <w:u w:val="single"/>
    </w:rPr>
  </w:style>
  <w:style w:type="paragraph" w:customStyle="1" w:styleId="Default">
    <w:name w:val="Default"/>
    <w:rsid w:val="00B52095"/>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2566">
      <w:bodyDiv w:val="1"/>
      <w:marLeft w:val="0"/>
      <w:marRight w:val="0"/>
      <w:marTop w:val="0"/>
      <w:marBottom w:val="0"/>
      <w:divBdr>
        <w:top w:val="none" w:sz="0" w:space="0" w:color="auto"/>
        <w:left w:val="none" w:sz="0" w:space="0" w:color="auto"/>
        <w:bottom w:val="none" w:sz="0" w:space="0" w:color="auto"/>
        <w:right w:val="none" w:sz="0" w:space="0" w:color="auto"/>
      </w:divBdr>
    </w:div>
    <w:div w:id="482543830">
      <w:bodyDiv w:val="1"/>
      <w:marLeft w:val="0"/>
      <w:marRight w:val="0"/>
      <w:marTop w:val="0"/>
      <w:marBottom w:val="0"/>
      <w:divBdr>
        <w:top w:val="none" w:sz="0" w:space="0" w:color="auto"/>
        <w:left w:val="none" w:sz="0" w:space="0" w:color="auto"/>
        <w:bottom w:val="none" w:sz="0" w:space="0" w:color="auto"/>
        <w:right w:val="none" w:sz="0" w:space="0" w:color="auto"/>
      </w:divBdr>
    </w:div>
    <w:div w:id="660081169">
      <w:bodyDiv w:val="1"/>
      <w:marLeft w:val="0"/>
      <w:marRight w:val="0"/>
      <w:marTop w:val="0"/>
      <w:marBottom w:val="0"/>
      <w:divBdr>
        <w:top w:val="none" w:sz="0" w:space="0" w:color="auto"/>
        <w:left w:val="none" w:sz="0" w:space="0" w:color="auto"/>
        <w:bottom w:val="none" w:sz="0" w:space="0" w:color="auto"/>
        <w:right w:val="none" w:sz="0" w:space="0" w:color="auto"/>
      </w:divBdr>
    </w:div>
    <w:div w:id="976255065">
      <w:bodyDiv w:val="1"/>
      <w:marLeft w:val="0"/>
      <w:marRight w:val="0"/>
      <w:marTop w:val="0"/>
      <w:marBottom w:val="0"/>
      <w:divBdr>
        <w:top w:val="none" w:sz="0" w:space="0" w:color="auto"/>
        <w:left w:val="none" w:sz="0" w:space="0" w:color="auto"/>
        <w:bottom w:val="none" w:sz="0" w:space="0" w:color="auto"/>
        <w:right w:val="none" w:sz="0" w:space="0" w:color="auto"/>
      </w:divBdr>
    </w:div>
    <w:div w:id="976762550">
      <w:bodyDiv w:val="1"/>
      <w:marLeft w:val="0"/>
      <w:marRight w:val="0"/>
      <w:marTop w:val="0"/>
      <w:marBottom w:val="0"/>
      <w:divBdr>
        <w:top w:val="none" w:sz="0" w:space="0" w:color="auto"/>
        <w:left w:val="none" w:sz="0" w:space="0" w:color="auto"/>
        <w:bottom w:val="none" w:sz="0" w:space="0" w:color="auto"/>
        <w:right w:val="none" w:sz="0" w:space="0" w:color="auto"/>
      </w:divBdr>
    </w:div>
    <w:div w:id="1065106703">
      <w:bodyDiv w:val="1"/>
      <w:marLeft w:val="0"/>
      <w:marRight w:val="0"/>
      <w:marTop w:val="0"/>
      <w:marBottom w:val="0"/>
      <w:divBdr>
        <w:top w:val="none" w:sz="0" w:space="0" w:color="auto"/>
        <w:left w:val="none" w:sz="0" w:space="0" w:color="auto"/>
        <w:bottom w:val="none" w:sz="0" w:space="0" w:color="auto"/>
        <w:right w:val="none" w:sz="0" w:space="0" w:color="auto"/>
      </w:divBdr>
    </w:div>
    <w:div w:id="1109468872">
      <w:bodyDiv w:val="1"/>
      <w:marLeft w:val="0"/>
      <w:marRight w:val="0"/>
      <w:marTop w:val="0"/>
      <w:marBottom w:val="0"/>
      <w:divBdr>
        <w:top w:val="none" w:sz="0" w:space="0" w:color="auto"/>
        <w:left w:val="none" w:sz="0" w:space="0" w:color="auto"/>
        <w:bottom w:val="none" w:sz="0" w:space="0" w:color="auto"/>
        <w:right w:val="none" w:sz="0" w:space="0" w:color="auto"/>
      </w:divBdr>
    </w:div>
    <w:div w:id="1316186183">
      <w:bodyDiv w:val="1"/>
      <w:marLeft w:val="0"/>
      <w:marRight w:val="0"/>
      <w:marTop w:val="0"/>
      <w:marBottom w:val="0"/>
      <w:divBdr>
        <w:top w:val="none" w:sz="0" w:space="0" w:color="auto"/>
        <w:left w:val="none" w:sz="0" w:space="0" w:color="auto"/>
        <w:bottom w:val="none" w:sz="0" w:space="0" w:color="auto"/>
        <w:right w:val="none" w:sz="0" w:space="0" w:color="auto"/>
      </w:divBdr>
    </w:div>
    <w:div w:id="1703676785">
      <w:bodyDiv w:val="1"/>
      <w:marLeft w:val="0"/>
      <w:marRight w:val="0"/>
      <w:marTop w:val="0"/>
      <w:marBottom w:val="0"/>
      <w:divBdr>
        <w:top w:val="none" w:sz="0" w:space="0" w:color="auto"/>
        <w:left w:val="none" w:sz="0" w:space="0" w:color="auto"/>
        <w:bottom w:val="none" w:sz="0" w:space="0" w:color="auto"/>
        <w:right w:val="none" w:sz="0" w:space="0" w:color="auto"/>
      </w:divBdr>
    </w:div>
    <w:div w:id="1742942570">
      <w:bodyDiv w:val="1"/>
      <w:marLeft w:val="0"/>
      <w:marRight w:val="0"/>
      <w:marTop w:val="0"/>
      <w:marBottom w:val="0"/>
      <w:divBdr>
        <w:top w:val="none" w:sz="0" w:space="0" w:color="auto"/>
        <w:left w:val="none" w:sz="0" w:space="0" w:color="auto"/>
        <w:bottom w:val="none" w:sz="0" w:space="0" w:color="auto"/>
        <w:right w:val="none" w:sz="0" w:space="0" w:color="auto"/>
      </w:divBdr>
    </w:div>
    <w:div w:id="19255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ilchi.mp/597568a2a5a8/open-data-updates-12816356"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CEB1BA60A478845BD9DB0A4F7A8B968" ma:contentTypeVersion="199" ma:contentTypeDescription="" ma:contentTypeScope="" ma:versionID="2fe5aebed40e608798425c160d1cfe26">
  <xsd:schema xmlns:xsd="http://www.w3.org/2001/XMLSchema" xmlns:xs="http://www.w3.org/2001/XMLSchema" xmlns:p="http://schemas.microsoft.com/office/2006/metadata/properties" xmlns:ns2="36b374ab-fdb4-4099-8bc6-8703f6ff5222" targetNamespace="http://schemas.microsoft.com/office/2006/metadata/properties" ma:root="true" ma:fieldsID="5f1957abb5b6a578e4fad0a8934784af" ns2:_="">
    <xsd:import namespace="36b374ab-fdb4-4099-8bc6-8703f6ff522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74ab-fdb4-4099-8bc6-8703f6ff522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e8a5f853-ffb7-45a2-8a4a-2dc4d9546a40}" ma:internalName="TaxCatchAll" ma:showField="CatchAllData"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a5f853-ffb7-45a2-8a4a-2dc4d9546a40}" ma:internalName="TaxCatchAllLabel" ma:readOnly="true" ma:showField="CatchAllDataLabel" ma:web="36b374ab-fdb4-4099-8bc6-8703f6ff522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12|d3645fd7-5b71-479d-bd53-9c2cbe44f6e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a2a87ccb-50b7-4118-aee4-b7ac72f5a21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ItemDeclaredRecord xmlns="36b374ab-fdb4-4099-8bc6-8703f6ff5222" xsi:nil="true"/>
    <TaxCatchAll xmlns="36b374ab-fdb4-4099-8bc6-8703f6ff5222">
      <Value>43</Value>
      <Value>7</Value>
      <Value>6</Value>
      <Value>5</Value>
      <Value>3</Value>
      <Value>1</Value>
    </TaxCatchAll>
    <fbaa881fc4ae443f9fdafbdd527793df xmlns="36b374ab-fdb4-4099-8bc6-8703f6ff5222">
      <Terms xmlns="http://schemas.microsoft.com/office/infopath/2007/PartnerControls"/>
    </fbaa881fc4ae443f9fdafbdd527793df>
    <nb1b8a72855341e18dd75ce464e281f2 xmlns="36b374ab-fdb4-4099-8bc6-8703f6ff5222">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39831d5f-7167-4dab-807e-7396013f126c</TermId>
        </TermInfo>
      </Terms>
    </nb1b8a72855341e18dd75ce464e281f2>
    <eDocs_FileStatus xmlns="36b374ab-fdb4-4099-8bc6-8703f6ff5222">Live</eDocs_FileStatus>
    <m02c691f3efa402dab5cbaa8c240a9e7 xmlns="36b374ab-fdb4-4099-8bc6-8703f6ff5222">
      <Terms xmlns="http://schemas.microsoft.com/office/infopath/2007/PartnerControls">
        <TermInfo xmlns="http://schemas.microsoft.com/office/infopath/2007/PartnerControls">
          <TermName xmlns="http://schemas.microsoft.com/office/infopath/2007/PartnerControls">Governance (Open Data)</TermName>
          <TermId xmlns="http://schemas.microsoft.com/office/infopath/2007/PartnerControls">f16e7f65-830e-4323-8ed8-31cec9eee704</TermId>
        </TermInfo>
        <TermInfo xmlns="http://schemas.microsoft.com/office/infopath/2007/PartnerControls">
          <TermName xmlns="http://schemas.microsoft.com/office/infopath/2007/PartnerControls">#Policy (Open Data)</TermName>
          <TermId xmlns="http://schemas.microsoft.com/office/infopath/2007/PartnerControls">94f0414b-d752-4549-ba57-e37a80b3d3c0</TermId>
        </TermInfo>
        <TermInfo xmlns="http://schemas.microsoft.com/office/infopath/2007/PartnerControls">
          <TermName xmlns="http://schemas.microsoft.com/office/infopath/2007/PartnerControls">#Open Data</TermName>
          <TermId xmlns="http://schemas.microsoft.com/office/infopath/2007/PartnerControls">58da4a7a-0a1b-4fd0-8361-cd4c1ada5a04</TermId>
        </TermInfo>
      </Terms>
    </m02c691f3efa402dab5cbaa8c240a9e7>
    <eDocs_eFileName xmlns="36b374ab-fdb4-4099-8bc6-8703f6ff5222">DPE212-001-2025</eDocs_eFileName>
    <mbbd3fafa5ab4e5eb8a6a5e099cef439 xmlns="36b374ab-fdb4-4099-8bc6-8703f6ff522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h1f8bb4843d6459a8b809123185593c7 xmlns="36b374ab-fdb4-4099-8bc6-8703f6ff5222">
      <Terms xmlns="http://schemas.microsoft.com/office/infopath/2007/PartnerControls">
        <TermInfo xmlns="http://schemas.microsoft.com/office/infopath/2007/PartnerControls">
          <TermName xmlns="http://schemas.microsoft.com/office/infopath/2007/PartnerControls">212</TermName>
          <TermId xmlns="http://schemas.microsoft.com/office/infopath/2007/PartnerControls">d3645fd7-5b71-479d-bd53-9c2cbe44f6e1</TermId>
        </TermInfo>
      </Terms>
    </h1f8bb4843d6459a8b809123185593c7>
  </documentManagement>
</p:properties>
</file>

<file path=customXml/itemProps1.xml><?xml version="1.0" encoding="utf-8"?>
<ds:datastoreItem xmlns:ds="http://schemas.openxmlformats.org/officeDocument/2006/customXml" ds:itemID="{11A6BC69-B595-4DCA-9F43-F68904491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74ab-fdb4-4099-8bc6-8703f6ff5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0F34A-4D6C-4740-AE85-8036C23C3019}">
  <ds:schemaRefs>
    <ds:schemaRef ds:uri="http://schemas.microsoft.com/sharepoint/v3/contenttype/forms"/>
  </ds:schemaRefs>
</ds:datastoreItem>
</file>

<file path=customXml/itemProps3.xml><?xml version="1.0" encoding="utf-8"?>
<ds:datastoreItem xmlns:ds="http://schemas.openxmlformats.org/officeDocument/2006/customXml" ds:itemID="{C63DB4F4-D1FE-4874-9418-1E173918836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36b374ab-fdb4-4099-8bc6-8703f6ff52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Glavey (PER)</dc:creator>
  <cp:keywords/>
  <dc:description/>
  <cp:lastModifiedBy>Helena Campbell (PER)</cp:lastModifiedBy>
  <cp:revision>39</cp:revision>
  <dcterms:created xsi:type="dcterms:W3CDTF">2024-09-11T16:19:00Z</dcterms:created>
  <dcterms:modified xsi:type="dcterms:W3CDTF">2025-06-17T16:16:00Z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0x0101000BC94875665D404BB1351B53C41FD2C0006CEB1BA60A478845BD9DB0A4F7A8B968</vt:lpwstr>
  </property>
  <property fmtid="{D5CDD505-2E9C-101B-9397-08002B2CF9AE}" pid="3" name="eDocs_FileTopics">
    <vt:lpwstr>6;#Governance (Open Data)|f16e7f65-830e-4323-8ed8-31cec9eee704;#7;##Policy (Open Data)|94f0414b-d752-4549-ba57-e37a80b3d3c0;#3;##Open Data|58da4a7a-0a1b-4fd0-8361-cd4c1ada5a04</vt:lpwstr>
  </property>
  <property fmtid="{D5CDD505-2E9C-101B-9397-08002B2CF9AE}" pid="4" name="eDocs_SecurityClassification">
    <vt:lpwstr>5;#Unclassified|0db6e6fe-7da6-4395-ba22-207b2a29f028</vt:lpwstr>
  </property>
  <property fmtid="{D5CDD505-2E9C-101B-9397-08002B2CF9AE}" pid="5" name="eDocs_Series">
    <vt:lpwstr>1;#212|d3645fd7-5b71-479d-bd53-9c2cbe44f6e1</vt:lpwstr>
  </property>
  <property fmtid="{D5CDD505-2E9C-101B-9397-08002B2CF9AE}" pid="6" name="eDocs_DocumentTopics">
    <vt:lpwstr/>
  </property>
  <property fmtid="{D5CDD505-2E9C-101B-9397-08002B2CF9AE}" pid="7" name="eDocs_Year">
    <vt:lpwstr>43;#2025|39831d5f-7167-4dab-807e-7396013f126c</vt:lpwstr>
  </property>
  <property fmtid="{D5CDD505-2E9C-101B-9397-08002B2CF9AE}" pid="8" name="ge25f6a3ef6f42d4865685f2a74bf8c7">
    <vt:lpwstr/>
  </property>
  <property fmtid="{D5CDD505-2E9C-101B-9397-08002B2CF9AE}" pid="9" name="eDocs_RetentionPeriodTerm">
    <vt:lpwstr/>
  </property>
</Properties>
</file>